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rutnt"/>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63B1A" w:rsidRPr="00B63B1A" w14:paraId="6D1B374A" w14:textId="77777777">
        <w:trPr>
          <w:cantSplit/>
          <w:trHeight w:hRule="exact" w:val="851"/>
        </w:trPr>
        <w:tc>
          <w:tcPr>
            <w:tcW w:w="1276" w:type="dxa"/>
            <w:tcBorders>
              <w:bottom w:val="single" w:sz="4" w:space="0" w:color="auto"/>
            </w:tcBorders>
            <w:vAlign w:val="bottom"/>
          </w:tcPr>
          <w:p w14:paraId="24B0460E" w14:textId="77777777" w:rsidR="000E3ADB" w:rsidRPr="00B63B1A" w:rsidRDefault="000E3ADB">
            <w:pPr>
              <w:spacing w:after="80"/>
            </w:pPr>
          </w:p>
        </w:tc>
        <w:tc>
          <w:tcPr>
            <w:tcW w:w="2268" w:type="dxa"/>
            <w:tcBorders>
              <w:bottom w:val="single" w:sz="4" w:space="0" w:color="auto"/>
            </w:tcBorders>
            <w:vAlign w:val="bottom"/>
          </w:tcPr>
          <w:p w14:paraId="197C4E32" w14:textId="77777777" w:rsidR="000E3ADB" w:rsidRPr="00B63B1A" w:rsidRDefault="00E55439">
            <w:pPr>
              <w:spacing w:after="80" w:line="300" w:lineRule="exact"/>
              <w:rPr>
                <w:b/>
                <w:sz w:val="24"/>
                <w:szCs w:val="24"/>
              </w:rPr>
            </w:pPr>
            <w:r w:rsidRPr="00B63B1A">
              <w:rPr>
                <w:sz w:val="28"/>
                <w:szCs w:val="28"/>
              </w:rPr>
              <w:t>United Nations</w:t>
            </w:r>
          </w:p>
        </w:tc>
        <w:tc>
          <w:tcPr>
            <w:tcW w:w="6095" w:type="dxa"/>
            <w:gridSpan w:val="2"/>
            <w:tcBorders>
              <w:bottom w:val="single" w:sz="4" w:space="0" w:color="auto"/>
            </w:tcBorders>
            <w:vAlign w:val="bottom"/>
          </w:tcPr>
          <w:p w14:paraId="50D0961A" w14:textId="2EE696F6" w:rsidR="000E3ADB" w:rsidRPr="00B63B1A" w:rsidRDefault="00E55439" w:rsidP="00057568">
            <w:pPr>
              <w:suppressAutoHyphens w:val="0"/>
              <w:spacing w:after="20"/>
              <w:jc w:val="right"/>
            </w:pPr>
            <w:r w:rsidRPr="00B63B1A">
              <w:rPr>
                <w:sz w:val="40"/>
              </w:rPr>
              <w:t>CRPD</w:t>
            </w:r>
            <w:r w:rsidRPr="00B63B1A">
              <w:t>/C/</w:t>
            </w:r>
            <w:r w:rsidR="00D97563" w:rsidRPr="00B63B1A">
              <w:t>SWE</w:t>
            </w:r>
            <w:r w:rsidRPr="00B63B1A">
              <w:t>/CO/</w:t>
            </w:r>
            <w:r w:rsidR="00200E93" w:rsidRPr="00B63B1A">
              <w:t>2-3</w:t>
            </w:r>
          </w:p>
        </w:tc>
      </w:tr>
      <w:tr w:rsidR="00B63B1A" w:rsidRPr="00B63B1A" w14:paraId="066777B1" w14:textId="77777777" w:rsidTr="003E1E51">
        <w:trPr>
          <w:cantSplit/>
          <w:trHeight w:hRule="exact" w:val="2835"/>
        </w:trPr>
        <w:tc>
          <w:tcPr>
            <w:tcW w:w="1276" w:type="dxa"/>
            <w:tcBorders>
              <w:top w:val="single" w:sz="4" w:space="0" w:color="auto"/>
              <w:bottom w:val="single" w:sz="12" w:space="0" w:color="auto"/>
            </w:tcBorders>
          </w:tcPr>
          <w:p w14:paraId="4824F58A" w14:textId="77777777" w:rsidR="000E3ADB" w:rsidRPr="00B63B1A" w:rsidRDefault="00E55439">
            <w:pPr>
              <w:spacing w:before="120"/>
              <w:jc w:val="center"/>
            </w:pPr>
            <w:r w:rsidRPr="00B63B1A">
              <w:rPr>
                <w:noProof/>
                <w:lang w:eastAsia="en-GB"/>
              </w:rPr>
              <w:drawing>
                <wp:inline distT="0" distB="0" distL="0" distR="0" wp14:anchorId="3383352C" wp14:editId="4B9B97C6">
                  <wp:extent cx="714375" cy="590550"/>
                  <wp:effectExtent l="0" t="0" r="9525" b="0"/>
                  <wp:docPr id="961237942" name="Bildobjekt 96123794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EC7916" w14:textId="77777777" w:rsidR="000E3ADB" w:rsidRPr="00B63B1A" w:rsidRDefault="00E55439">
            <w:pPr>
              <w:spacing w:before="120" w:line="380" w:lineRule="exact"/>
            </w:pPr>
            <w:r w:rsidRPr="00B63B1A">
              <w:rPr>
                <w:b/>
                <w:sz w:val="34"/>
                <w:szCs w:val="40"/>
              </w:rPr>
              <w:t>Convention on the Rights</w:t>
            </w:r>
            <w:r w:rsidRPr="00B63B1A">
              <w:rPr>
                <w:b/>
                <w:sz w:val="34"/>
                <w:szCs w:val="40"/>
              </w:rPr>
              <w:br/>
              <w:t>of Persons with Disabilities</w:t>
            </w:r>
          </w:p>
        </w:tc>
        <w:tc>
          <w:tcPr>
            <w:tcW w:w="2835" w:type="dxa"/>
            <w:tcBorders>
              <w:top w:val="single" w:sz="4" w:space="0" w:color="auto"/>
              <w:bottom w:val="single" w:sz="12" w:space="0" w:color="auto"/>
            </w:tcBorders>
          </w:tcPr>
          <w:p w14:paraId="26EE258C" w14:textId="78A22E96" w:rsidR="000E3ADB" w:rsidRPr="00B63B1A" w:rsidRDefault="00E55439">
            <w:pPr>
              <w:suppressAutoHyphens w:val="0"/>
              <w:spacing w:before="240" w:line="240" w:lineRule="exact"/>
            </w:pPr>
            <w:r w:rsidRPr="00B63B1A">
              <w:t xml:space="preserve">Distr.: </w:t>
            </w:r>
            <w:r w:rsidR="00815FC7" w:rsidRPr="00B63B1A">
              <w:t>General</w:t>
            </w:r>
          </w:p>
          <w:p w14:paraId="19233C8F" w14:textId="0E3189D3" w:rsidR="000E3ADB" w:rsidRPr="00B63B1A" w:rsidRDefault="00AF245F">
            <w:pPr>
              <w:suppressAutoHyphens w:val="0"/>
            </w:pPr>
            <w:r w:rsidRPr="00B63B1A">
              <w:t>2</w:t>
            </w:r>
            <w:r w:rsidR="008C5C2F" w:rsidRPr="00B63B1A">
              <w:t>2</w:t>
            </w:r>
            <w:r w:rsidR="00B7405D" w:rsidRPr="00B63B1A">
              <w:t xml:space="preserve"> </w:t>
            </w:r>
            <w:r w:rsidR="006B5EE1" w:rsidRPr="00B63B1A">
              <w:t>March</w:t>
            </w:r>
            <w:r w:rsidR="00B7405D" w:rsidRPr="00B63B1A">
              <w:t xml:space="preserve"> 2024</w:t>
            </w:r>
          </w:p>
          <w:p w14:paraId="60F3B14D" w14:textId="784FED96" w:rsidR="00541E5D" w:rsidRPr="00B63B1A" w:rsidRDefault="00541E5D">
            <w:pPr>
              <w:suppressAutoHyphens w:val="0"/>
              <w:rPr>
                <w:b/>
                <w:bCs/>
              </w:rPr>
            </w:pPr>
            <w:r w:rsidRPr="00B63B1A">
              <w:rPr>
                <w:b/>
                <w:bCs/>
              </w:rPr>
              <w:t>ADVANCE UNEDITED VERSION</w:t>
            </w:r>
          </w:p>
          <w:p w14:paraId="77D70579" w14:textId="77777777" w:rsidR="000E3ADB" w:rsidRPr="00B63B1A" w:rsidRDefault="000E3ADB">
            <w:pPr>
              <w:suppressAutoHyphens w:val="0"/>
            </w:pPr>
          </w:p>
          <w:p w14:paraId="0EF9F6C2" w14:textId="77777777" w:rsidR="000E3ADB" w:rsidRPr="00B63B1A" w:rsidRDefault="00E55439">
            <w:pPr>
              <w:suppressAutoHyphens w:val="0"/>
            </w:pPr>
            <w:r w:rsidRPr="00B63B1A">
              <w:t>Original: English</w:t>
            </w:r>
          </w:p>
          <w:p w14:paraId="267C376F" w14:textId="46C6CBDF" w:rsidR="000E3ADB" w:rsidRPr="00B63B1A" w:rsidRDefault="00DC7BF1" w:rsidP="003E1E51">
            <w:pPr>
              <w:suppressAutoHyphens w:val="0"/>
            </w:pPr>
            <w:r w:rsidRPr="00B63B1A">
              <w:t xml:space="preserve">Arabic, </w:t>
            </w:r>
            <w:r w:rsidR="00E55439" w:rsidRPr="00B63B1A">
              <w:t xml:space="preserve">English, </w:t>
            </w:r>
            <w:r w:rsidR="003E1E51" w:rsidRPr="00B63B1A">
              <w:t>French</w:t>
            </w:r>
            <w:r w:rsidR="00E55439" w:rsidRPr="00B63B1A">
              <w:t xml:space="preserve"> and Spanish only</w:t>
            </w:r>
          </w:p>
        </w:tc>
      </w:tr>
    </w:tbl>
    <w:p w14:paraId="4A677706" w14:textId="77777777" w:rsidR="000E3ADB" w:rsidRPr="00B63B1A" w:rsidRDefault="00E55439">
      <w:pPr>
        <w:spacing w:before="120"/>
        <w:rPr>
          <w:b/>
          <w:sz w:val="24"/>
        </w:rPr>
      </w:pPr>
      <w:r w:rsidRPr="00B63B1A">
        <w:rPr>
          <w:b/>
          <w:sz w:val="24"/>
        </w:rPr>
        <w:t>Committee on the Rights of Persons with Disabilities</w:t>
      </w:r>
    </w:p>
    <w:p w14:paraId="23200006" w14:textId="47CB6DCF" w:rsidR="00921219" w:rsidRPr="00B63B1A" w:rsidRDefault="00921219" w:rsidP="001661F9">
      <w:pPr>
        <w:pStyle w:val="HChG"/>
        <w:rPr>
          <w:lang w:eastAsia="zh-CN"/>
        </w:rPr>
      </w:pPr>
      <w:r w:rsidRPr="00B63B1A">
        <w:rPr>
          <w:lang w:eastAsia="zh-CN"/>
        </w:rPr>
        <w:tab/>
      </w:r>
      <w:r w:rsidRPr="00B63B1A">
        <w:rPr>
          <w:lang w:eastAsia="zh-CN"/>
        </w:rPr>
        <w:tab/>
        <w:t>Concluding observations on the</w:t>
      </w:r>
      <w:r w:rsidR="00200E93" w:rsidRPr="00B63B1A">
        <w:rPr>
          <w:lang w:eastAsia="zh-CN"/>
        </w:rPr>
        <w:t xml:space="preserve"> combined second and third</w:t>
      </w:r>
      <w:r w:rsidRPr="00B63B1A">
        <w:rPr>
          <w:lang w:eastAsia="zh-CN"/>
        </w:rPr>
        <w:t xml:space="preserve"> </w:t>
      </w:r>
      <w:r w:rsidR="0035528D" w:rsidRPr="00B63B1A">
        <w:rPr>
          <w:lang w:eastAsia="zh-CN"/>
        </w:rPr>
        <w:t xml:space="preserve">periodic </w:t>
      </w:r>
      <w:r w:rsidRPr="00B63B1A">
        <w:rPr>
          <w:lang w:eastAsia="zh-CN"/>
        </w:rPr>
        <w:t>report</w:t>
      </w:r>
      <w:r w:rsidR="00200E93" w:rsidRPr="00B63B1A">
        <w:rPr>
          <w:lang w:eastAsia="zh-CN"/>
        </w:rPr>
        <w:t>s</w:t>
      </w:r>
      <w:r w:rsidRPr="00B63B1A">
        <w:rPr>
          <w:lang w:eastAsia="zh-CN"/>
        </w:rPr>
        <w:t xml:space="preserve"> of </w:t>
      </w:r>
      <w:r w:rsidR="00D97563" w:rsidRPr="00B63B1A">
        <w:rPr>
          <w:lang w:eastAsia="zh-CN"/>
        </w:rPr>
        <w:t>Sweden</w:t>
      </w:r>
      <w:r w:rsidR="00815FC7" w:rsidRPr="00B63B1A">
        <w:rPr>
          <w:bCs/>
          <w:sz w:val="24"/>
          <w:szCs w:val="24"/>
          <w:lang w:eastAsia="zh-CN"/>
        </w:rPr>
        <w:footnoteReference w:customMarkFollows="1" w:id="2"/>
        <w:t>*</w:t>
      </w:r>
    </w:p>
    <w:p w14:paraId="52B2FD25" w14:textId="77777777" w:rsidR="006B5EE1" w:rsidRPr="00B63B1A" w:rsidRDefault="00B314BD" w:rsidP="006B5EE1">
      <w:pPr>
        <w:pStyle w:val="HChG"/>
      </w:pPr>
      <w:r w:rsidRPr="00B63B1A">
        <w:tab/>
      </w:r>
      <w:r w:rsidR="006B5EE1" w:rsidRPr="00B63B1A">
        <w:t>I.</w:t>
      </w:r>
      <w:r w:rsidR="006B5EE1" w:rsidRPr="00B63B1A">
        <w:tab/>
        <w:t>Introduction</w:t>
      </w:r>
    </w:p>
    <w:p w14:paraId="37A6515A" w14:textId="40A77495" w:rsidR="006B5EE1" w:rsidRPr="00B63B1A" w:rsidRDefault="006B5EE1" w:rsidP="006B5EE1">
      <w:pPr>
        <w:pStyle w:val="SingleTxtG"/>
      </w:pPr>
      <w:r w:rsidRPr="00B63B1A">
        <w:t>1.</w:t>
      </w:r>
      <w:r w:rsidRPr="00B63B1A">
        <w:tab/>
        <w:t>The Committee considered the combined second and third periodic reports of Sweden</w:t>
      </w:r>
      <w:r w:rsidRPr="00B63B1A">
        <w:rPr>
          <w:rStyle w:val="Fotnotsreferens"/>
        </w:rPr>
        <w:t xml:space="preserve"> </w:t>
      </w:r>
      <w:r w:rsidRPr="00B63B1A">
        <w:t xml:space="preserve">at its </w:t>
      </w:r>
      <w:bookmarkStart w:id="0" w:name="_Hlk142488082"/>
      <w:r w:rsidRPr="00B63B1A">
        <w:t xml:space="preserve">700th and 701st </w:t>
      </w:r>
      <w:bookmarkEnd w:id="0"/>
      <w:r w:rsidRPr="00B63B1A">
        <w:t>meetings,</w:t>
      </w:r>
      <w:r w:rsidRPr="00B63B1A">
        <w:rPr>
          <w:rStyle w:val="Fotnotsreferens"/>
        </w:rPr>
        <w:t xml:space="preserve"> </w:t>
      </w:r>
      <w:r w:rsidRPr="00B63B1A">
        <w:t xml:space="preserve">held on </w:t>
      </w:r>
      <w:r w:rsidR="00ED6A8A" w:rsidRPr="00B63B1A">
        <w:t>11</w:t>
      </w:r>
      <w:r w:rsidRPr="00B63B1A">
        <w:t xml:space="preserve"> and </w:t>
      </w:r>
      <w:r w:rsidR="00ED6A8A" w:rsidRPr="00B63B1A">
        <w:t>12</w:t>
      </w:r>
      <w:r w:rsidRPr="00B63B1A">
        <w:t xml:space="preserve"> </w:t>
      </w:r>
      <w:r w:rsidR="00ED6A8A" w:rsidRPr="00B63B1A">
        <w:t>March</w:t>
      </w:r>
      <w:r w:rsidRPr="00B63B1A">
        <w:t xml:space="preserve"> 202</w:t>
      </w:r>
      <w:r w:rsidR="00ED6A8A" w:rsidRPr="00B63B1A">
        <w:t>4</w:t>
      </w:r>
      <w:r w:rsidRPr="00B63B1A">
        <w:t>. It adopted the present concluding observations at its</w:t>
      </w:r>
      <w:r w:rsidR="00ED6A8A" w:rsidRPr="00B63B1A">
        <w:t xml:space="preserve"> 714</w:t>
      </w:r>
      <w:r w:rsidRPr="00B63B1A">
        <w:t xml:space="preserve">th meeting, held on </w:t>
      </w:r>
      <w:r w:rsidR="00ED6A8A" w:rsidRPr="00B63B1A">
        <w:t>20 March</w:t>
      </w:r>
      <w:r w:rsidRPr="00B63B1A">
        <w:t xml:space="preserve"> 202</w:t>
      </w:r>
      <w:r w:rsidR="00ED6A8A" w:rsidRPr="00B63B1A">
        <w:t>4</w:t>
      </w:r>
      <w:r w:rsidRPr="00B63B1A">
        <w:t xml:space="preserve">. </w:t>
      </w:r>
    </w:p>
    <w:p w14:paraId="028BCC88" w14:textId="0D6077DE" w:rsidR="006B5EE1" w:rsidRPr="00B63B1A" w:rsidRDefault="006B5EE1" w:rsidP="006B5EE1">
      <w:pPr>
        <w:pStyle w:val="SingleTxtG"/>
      </w:pPr>
      <w:r w:rsidRPr="00B63B1A">
        <w:t>2.</w:t>
      </w:r>
      <w:r w:rsidRPr="00B63B1A">
        <w:tab/>
        <w:t xml:space="preserve">The Committee welcomes the combined second and third periodic reports of </w:t>
      </w:r>
      <w:r w:rsidR="00ED6A8A" w:rsidRPr="00B63B1A">
        <w:t>Sweden</w:t>
      </w:r>
      <w:r w:rsidRPr="00B63B1A">
        <w:t>, which were prepared in accordance with the Committee’s reporting guidelines in response</w:t>
      </w:r>
      <w:r w:rsidRPr="00B63B1A">
        <w:rPr>
          <w:sz w:val="18"/>
          <w:szCs w:val="18"/>
          <w:vertAlign w:val="superscript"/>
        </w:rPr>
        <w:t xml:space="preserve"> </w:t>
      </w:r>
      <w:r w:rsidRPr="00B63B1A">
        <w:t>to the list of issues prior to reporting prepared by the Committee.</w:t>
      </w:r>
      <w:r w:rsidRPr="00B63B1A">
        <w:rPr>
          <w:rStyle w:val="Fotnotsreferens"/>
        </w:rPr>
        <w:t xml:space="preserve"> </w:t>
      </w:r>
    </w:p>
    <w:p w14:paraId="483220EC" w14:textId="269DFE9E" w:rsidR="006B5EE1" w:rsidRPr="00B63B1A" w:rsidRDefault="006B5EE1" w:rsidP="006B5EE1">
      <w:pPr>
        <w:pStyle w:val="SingleTxtG"/>
      </w:pPr>
      <w:r w:rsidRPr="00B63B1A">
        <w:t>3.</w:t>
      </w:r>
      <w:r w:rsidRPr="00B63B1A">
        <w:tab/>
        <w:t xml:space="preserve">The Committee expresses its appreciation for the constructive dialogue held with the State party’s delegation, which covered a wide array of issues and included representatives of relevant government ministries who provided further clarifications on the questions posed by the Committee. The Committee also expresses its appreciation for the active participation of the </w:t>
      </w:r>
      <w:r w:rsidR="00FA5E6C" w:rsidRPr="00B63B1A">
        <w:t>Swedish Institute for Human Rights</w:t>
      </w:r>
      <w:r w:rsidRPr="00B63B1A">
        <w:t xml:space="preserve">, in its capacity as the national human rights institution and independent monitoring mechanism, pursuant to article 33 (2) of the Convention. </w:t>
      </w:r>
    </w:p>
    <w:p w14:paraId="4625DB52" w14:textId="77777777" w:rsidR="006B5EE1" w:rsidRPr="00B63B1A" w:rsidRDefault="006B5EE1" w:rsidP="006B5EE1">
      <w:pPr>
        <w:pStyle w:val="HChG"/>
      </w:pPr>
      <w:r w:rsidRPr="00B63B1A">
        <w:tab/>
        <w:t>II.</w:t>
      </w:r>
      <w:r w:rsidRPr="00B63B1A">
        <w:tab/>
        <w:t>Positive aspects</w:t>
      </w:r>
    </w:p>
    <w:p w14:paraId="355BC49D" w14:textId="779E9CF1" w:rsidR="006B5EE1" w:rsidRPr="00B63B1A" w:rsidRDefault="006B5EE1" w:rsidP="006B5EE1">
      <w:pPr>
        <w:pStyle w:val="SingleTxtG"/>
      </w:pPr>
      <w:r w:rsidRPr="00B63B1A">
        <w:t>4.</w:t>
      </w:r>
      <w:r w:rsidRPr="00B63B1A">
        <w:tab/>
        <w:t>The Committee welcomes the measures taken by the State party to implement the Convention following the recommendations of the Committee contained in its concluding observations on the i</w:t>
      </w:r>
      <w:r w:rsidR="00FF5463" w:rsidRPr="00B63B1A">
        <w:t>nitial</w:t>
      </w:r>
      <w:r w:rsidRPr="00B63B1A">
        <w:t xml:space="preserve"> report of the State party. It welcomes in particular the legislative and policy measures taken to promote the rights of persons with disabilities, including:</w:t>
      </w:r>
    </w:p>
    <w:p w14:paraId="1C927D20" w14:textId="6C52D3CE" w:rsidR="006B5EE1" w:rsidRPr="00B63B1A" w:rsidRDefault="00562382" w:rsidP="00622025">
      <w:pPr>
        <w:pStyle w:val="SingleTxtG"/>
        <w:ind w:firstLine="567"/>
      </w:pPr>
      <w:r w:rsidRPr="00B63B1A">
        <w:tab/>
      </w:r>
      <w:r w:rsidR="006B5EE1" w:rsidRPr="00B63B1A">
        <w:t>(a)</w:t>
      </w:r>
      <w:r w:rsidR="006B5EE1" w:rsidRPr="00B63B1A">
        <w:tab/>
        <w:t xml:space="preserve">The </w:t>
      </w:r>
      <w:r w:rsidRPr="00B63B1A">
        <w:t xml:space="preserve">establishment of interdepartmental working party by the Ministry for Children, the Elderly and Gender Equality, to support the implementation of the disability policy, in </w:t>
      </w:r>
      <w:proofErr w:type="gramStart"/>
      <w:r w:rsidRPr="00B63B1A">
        <w:t>2017</w:t>
      </w:r>
      <w:r w:rsidR="006B5EE1" w:rsidRPr="00B63B1A">
        <w:t>;</w:t>
      </w:r>
      <w:proofErr w:type="gramEnd"/>
    </w:p>
    <w:p w14:paraId="3AD6F00B" w14:textId="0D6A82DF" w:rsidR="006B5EE1" w:rsidRPr="00B63B1A" w:rsidRDefault="006B5EE1" w:rsidP="00622025">
      <w:pPr>
        <w:pStyle w:val="SingleTxtG"/>
        <w:ind w:firstLine="567"/>
      </w:pPr>
      <w:r w:rsidRPr="00B63B1A">
        <w:tab/>
        <w:t>(b)</w:t>
      </w:r>
      <w:r w:rsidRPr="00B63B1A">
        <w:tab/>
        <w:t xml:space="preserve">The </w:t>
      </w:r>
      <w:r w:rsidR="006D2803" w:rsidRPr="00B63B1A">
        <w:t xml:space="preserve">establishment of the Swedish Institute on Human Rights in </w:t>
      </w:r>
      <w:proofErr w:type="gramStart"/>
      <w:r w:rsidR="006D2803" w:rsidRPr="00B63B1A">
        <w:t>2021</w:t>
      </w:r>
      <w:r w:rsidRPr="00B63B1A">
        <w:t>;</w:t>
      </w:r>
      <w:proofErr w:type="gramEnd"/>
      <w:r w:rsidRPr="00B63B1A">
        <w:t xml:space="preserve"> </w:t>
      </w:r>
    </w:p>
    <w:p w14:paraId="5466E3E2" w14:textId="6FE2AC6B" w:rsidR="00BA45E0" w:rsidRPr="00B63B1A" w:rsidRDefault="00BA6333" w:rsidP="00622025">
      <w:pPr>
        <w:pStyle w:val="SingleTxtG"/>
        <w:ind w:firstLine="567"/>
      </w:pPr>
      <w:r w:rsidRPr="00B63B1A">
        <w:tab/>
      </w:r>
      <w:r w:rsidR="006B5EE1" w:rsidRPr="00B63B1A">
        <w:t>(c)</w:t>
      </w:r>
      <w:r w:rsidR="006B5EE1" w:rsidRPr="00B63B1A">
        <w:tab/>
      </w:r>
      <w:r w:rsidRPr="00B63B1A">
        <w:t xml:space="preserve">The adoption of the Strategy for Systematic Follow-Up of the National Objective on Disability Policy, in </w:t>
      </w:r>
      <w:proofErr w:type="gramStart"/>
      <w:r w:rsidRPr="00B63B1A">
        <w:t>2021</w:t>
      </w:r>
      <w:r w:rsidR="00BA45E0" w:rsidRPr="00B63B1A">
        <w:t>;</w:t>
      </w:r>
      <w:proofErr w:type="gramEnd"/>
      <w:r w:rsidR="00BA45E0" w:rsidRPr="00B63B1A">
        <w:t xml:space="preserve"> </w:t>
      </w:r>
    </w:p>
    <w:p w14:paraId="5FCC2851" w14:textId="725ECC7B" w:rsidR="001B6BA0" w:rsidRPr="00B63B1A" w:rsidRDefault="00BA45E0" w:rsidP="00BA45E0">
      <w:pPr>
        <w:pStyle w:val="SingleTxtG"/>
        <w:ind w:firstLine="567"/>
      </w:pPr>
      <w:r w:rsidRPr="00B63B1A">
        <w:t>(d)</w:t>
      </w:r>
      <w:r w:rsidRPr="00B63B1A">
        <w:tab/>
      </w:r>
      <w:r w:rsidR="005A3064" w:rsidRPr="00B63B1A">
        <w:t>The inc</w:t>
      </w:r>
      <w:r w:rsidRPr="00B63B1A">
        <w:t>orporat</w:t>
      </w:r>
      <w:r w:rsidR="005A3064" w:rsidRPr="00B63B1A">
        <w:t>ion of</w:t>
      </w:r>
      <w:r w:rsidRPr="00B63B1A">
        <w:t xml:space="preserve"> the Convention on the Rights of the Child into </w:t>
      </w:r>
      <w:r w:rsidR="005A3064" w:rsidRPr="00B63B1A">
        <w:t>the State party’s</w:t>
      </w:r>
      <w:r w:rsidRPr="00B63B1A">
        <w:t xml:space="preserve"> national law, in 2020. </w:t>
      </w:r>
    </w:p>
    <w:p w14:paraId="308CB338" w14:textId="77777777" w:rsidR="006B5EE1" w:rsidRPr="00B63B1A" w:rsidRDefault="006B5EE1" w:rsidP="006B5EE1">
      <w:pPr>
        <w:pStyle w:val="HChG"/>
      </w:pPr>
      <w:r w:rsidRPr="00B63B1A">
        <w:lastRenderedPageBreak/>
        <w:tab/>
        <w:t>III.</w:t>
      </w:r>
      <w:r w:rsidRPr="00B63B1A">
        <w:tab/>
        <w:t>Principal areas of concern and recommendations</w:t>
      </w:r>
    </w:p>
    <w:p w14:paraId="20C42DA8" w14:textId="77777777" w:rsidR="006B5EE1" w:rsidRPr="00B63B1A" w:rsidRDefault="006B5EE1" w:rsidP="006B5EE1">
      <w:pPr>
        <w:pStyle w:val="H1G"/>
      </w:pPr>
      <w:r w:rsidRPr="00B63B1A">
        <w:tab/>
        <w:t>A.</w:t>
      </w:r>
      <w:r w:rsidRPr="00B63B1A">
        <w:tab/>
        <w:t>General principles and obligations (arts. 1–4)</w:t>
      </w:r>
    </w:p>
    <w:p w14:paraId="3A190E2D" w14:textId="07BE670E" w:rsidR="00BA45E0" w:rsidRPr="00B63B1A" w:rsidRDefault="00BA45E0" w:rsidP="00BA45E0">
      <w:pPr>
        <w:pStyle w:val="SingleTxtG"/>
      </w:pPr>
      <w:r w:rsidRPr="00B63B1A">
        <w:t>5.</w:t>
      </w:r>
      <w:r w:rsidRPr="00B63B1A">
        <w:tab/>
        <w:t>The Committee is concerned about a</w:t>
      </w:r>
      <w:r w:rsidR="00DC25BD" w:rsidRPr="00B63B1A">
        <w:t xml:space="preserve"> </w:t>
      </w:r>
      <w:r w:rsidR="00061899" w:rsidRPr="00B63B1A">
        <w:t xml:space="preserve">gradual </w:t>
      </w:r>
      <w:r w:rsidRPr="00B63B1A">
        <w:t>return to the medical model in many areas of the law, particularly in the social security and disability support systems, that the definition of disability in Section 5(4) of the Discrimination Act 2008 solely focuses on the impairments and does not extend to the societal barriers resulting in disabilities.</w:t>
      </w:r>
    </w:p>
    <w:p w14:paraId="6E41AD36" w14:textId="77777777" w:rsidR="00BA45E0" w:rsidRPr="00B63B1A" w:rsidRDefault="00BA45E0" w:rsidP="00BA45E0">
      <w:pPr>
        <w:pStyle w:val="SingleTxtG"/>
        <w:rPr>
          <w:b/>
        </w:rPr>
      </w:pPr>
      <w:r w:rsidRPr="00B63B1A">
        <w:t>6.</w:t>
      </w:r>
      <w:r w:rsidRPr="00B63B1A">
        <w:tab/>
      </w:r>
      <w:r w:rsidRPr="00B63B1A">
        <w:rPr>
          <w:b/>
          <w:bCs/>
        </w:rPr>
        <w:t>T</w:t>
      </w:r>
      <w:r w:rsidRPr="00B63B1A">
        <w:rPr>
          <w:b/>
        </w:rPr>
        <w:t xml:space="preserve">he Committee recommends that the State party harmonize the definition of disability in laws and policies with the human rights model of disability, and revise, in particular, the definition of disability in the Discrimination Act 2008 as the result of the interaction between impairment and socially constructed barriers. </w:t>
      </w:r>
    </w:p>
    <w:p w14:paraId="689EDACA" w14:textId="77777777" w:rsidR="00BA45E0" w:rsidRPr="00B63B1A" w:rsidRDefault="00BA45E0" w:rsidP="00BA45E0">
      <w:pPr>
        <w:pStyle w:val="SingleTxtG"/>
      </w:pPr>
      <w:r w:rsidRPr="00B63B1A">
        <w:t>7.</w:t>
      </w:r>
      <w:r w:rsidRPr="00B63B1A">
        <w:tab/>
        <w:t>The Committee is concerned that:</w:t>
      </w:r>
    </w:p>
    <w:p w14:paraId="313C600F" w14:textId="0BD0A0A1" w:rsidR="00BA45E0" w:rsidRPr="00B63B1A" w:rsidRDefault="00BA45E0" w:rsidP="00BA45E0">
      <w:pPr>
        <w:pStyle w:val="SingleTxtG"/>
        <w:ind w:firstLine="567"/>
      </w:pPr>
      <w:r w:rsidRPr="00B63B1A">
        <w:t>(a)</w:t>
      </w:r>
      <w:r w:rsidRPr="00B63B1A">
        <w:tab/>
        <w:t xml:space="preserve">The budget for measures to implement the economic, social and cultural rights guaranteed by the Convention has decreased as a percentage of GDP for an extended period of </w:t>
      </w:r>
      <w:proofErr w:type="gramStart"/>
      <w:r w:rsidRPr="00B63B1A">
        <w:t>time;</w:t>
      </w:r>
      <w:proofErr w:type="gramEnd"/>
    </w:p>
    <w:p w14:paraId="743DEFC5" w14:textId="77777777" w:rsidR="00BA45E0" w:rsidRPr="00B63B1A" w:rsidRDefault="00BA45E0" w:rsidP="00BA45E0">
      <w:pPr>
        <w:pStyle w:val="SingleTxtG"/>
        <w:ind w:firstLine="567"/>
      </w:pPr>
      <w:r w:rsidRPr="00B63B1A">
        <w:t>(b)</w:t>
      </w:r>
      <w:r w:rsidRPr="00B63B1A">
        <w:tab/>
        <w:t xml:space="preserve">The Convention has not been fully incorporated into domestic Swedish law and hence does not provide a basis for legal claims in administrative and judicial </w:t>
      </w:r>
      <w:proofErr w:type="gramStart"/>
      <w:r w:rsidRPr="00B63B1A">
        <w:t>procedures;</w:t>
      </w:r>
      <w:proofErr w:type="gramEnd"/>
    </w:p>
    <w:p w14:paraId="07244DFC" w14:textId="77777777" w:rsidR="00BA45E0" w:rsidRPr="00B63B1A" w:rsidRDefault="00BA45E0" w:rsidP="00BA45E0">
      <w:pPr>
        <w:pStyle w:val="SingleTxtG"/>
        <w:ind w:firstLine="567"/>
      </w:pPr>
      <w:r w:rsidRPr="00B63B1A">
        <w:t>(c)</w:t>
      </w:r>
      <w:r w:rsidRPr="00B63B1A">
        <w:tab/>
        <w:t xml:space="preserve">The lack of a systematic review of existing laws, policies and regulations to ascertain the legislative action required to conform with the obligations under the </w:t>
      </w:r>
      <w:proofErr w:type="gramStart"/>
      <w:r w:rsidRPr="00B63B1A">
        <w:t>Convention;</w:t>
      </w:r>
      <w:proofErr w:type="gramEnd"/>
    </w:p>
    <w:p w14:paraId="16D061F0" w14:textId="77777777" w:rsidR="00BA45E0" w:rsidRPr="00B63B1A" w:rsidRDefault="00BA45E0" w:rsidP="00BA45E0">
      <w:pPr>
        <w:pStyle w:val="SingleTxtG"/>
        <w:ind w:firstLine="567"/>
      </w:pPr>
      <w:r w:rsidRPr="00B63B1A">
        <w:t>(d)</w:t>
      </w:r>
      <w:r w:rsidRPr="00B63B1A">
        <w:tab/>
        <w:t>The judiciary and administrative bodies do not generally interpret domestic law in light of the Convention, even in areas where the respective interpretive scope would exist.</w:t>
      </w:r>
    </w:p>
    <w:p w14:paraId="534A002A" w14:textId="77777777" w:rsidR="00BA45E0" w:rsidRPr="00B63B1A" w:rsidRDefault="00BA45E0" w:rsidP="00BA45E0">
      <w:pPr>
        <w:pStyle w:val="SingleTxtG"/>
        <w:rPr>
          <w:b/>
          <w:bCs/>
        </w:rPr>
      </w:pPr>
      <w:r w:rsidRPr="00B63B1A">
        <w:t>8.</w:t>
      </w:r>
      <w:r w:rsidRPr="00B63B1A">
        <w:tab/>
      </w:r>
      <w:r w:rsidRPr="00B63B1A">
        <w:rPr>
          <w:b/>
          <w:bCs/>
        </w:rPr>
        <w:t>The Committee recommends the State party:</w:t>
      </w:r>
    </w:p>
    <w:p w14:paraId="58F52C24" w14:textId="77777777" w:rsidR="00BA45E0" w:rsidRPr="00B63B1A" w:rsidRDefault="00BA45E0" w:rsidP="00BA45E0">
      <w:pPr>
        <w:pStyle w:val="SingleTxtG"/>
        <w:ind w:firstLine="567"/>
        <w:rPr>
          <w:b/>
          <w:bCs/>
        </w:rPr>
      </w:pPr>
      <w:r w:rsidRPr="00B63B1A">
        <w:rPr>
          <w:b/>
          <w:bCs/>
        </w:rPr>
        <w:t>(a)</w:t>
      </w:r>
      <w:r w:rsidRPr="00B63B1A">
        <w:rPr>
          <w:b/>
          <w:bCs/>
        </w:rPr>
        <w:tab/>
        <w:t xml:space="preserve">Take measures to achieving progressively the full realization of the economic, social and cultural rights under the Convention, and that no retrogressive measures are </w:t>
      </w:r>
      <w:proofErr w:type="gramStart"/>
      <w:r w:rsidRPr="00B63B1A">
        <w:rPr>
          <w:b/>
          <w:bCs/>
        </w:rPr>
        <w:t>taken;</w:t>
      </w:r>
      <w:proofErr w:type="gramEnd"/>
    </w:p>
    <w:p w14:paraId="50AB3599" w14:textId="77777777" w:rsidR="00BA45E0" w:rsidRPr="00B63B1A" w:rsidRDefault="00BA45E0" w:rsidP="00BA45E0">
      <w:pPr>
        <w:pStyle w:val="SingleTxtG"/>
        <w:ind w:firstLine="567"/>
        <w:rPr>
          <w:b/>
          <w:bCs/>
        </w:rPr>
      </w:pPr>
      <w:r w:rsidRPr="00B63B1A">
        <w:rPr>
          <w:b/>
          <w:bCs/>
        </w:rPr>
        <w:t>(b)</w:t>
      </w:r>
      <w:r w:rsidRPr="00B63B1A">
        <w:rPr>
          <w:b/>
          <w:bCs/>
        </w:rPr>
        <w:tab/>
        <w:t>Review the status of the Convention in its legal system, fully incorporate it into domestic law, as recommended in its previous Concluding observations</w:t>
      </w:r>
      <w:r w:rsidRPr="00B63B1A">
        <w:rPr>
          <w:rStyle w:val="Fotnotsreferens"/>
          <w:b/>
          <w:bCs/>
        </w:rPr>
        <w:footnoteReference w:id="3"/>
      </w:r>
      <w:r w:rsidRPr="00B63B1A">
        <w:rPr>
          <w:b/>
          <w:bCs/>
        </w:rPr>
        <w:t>;</w:t>
      </w:r>
    </w:p>
    <w:p w14:paraId="53340439" w14:textId="77777777" w:rsidR="00BA45E0" w:rsidRPr="00B63B1A" w:rsidRDefault="00BA45E0" w:rsidP="00BA45E0">
      <w:pPr>
        <w:pStyle w:val="SingleTxtG"/>
        <w:ind w:firstLine="567"/>
        <w:rPr>
          <w:b/>
          <w:bCs/>
        </w:rPr>
      </w:pPr>
      <w:r w:rsidRPr="00B63B1A">
        <w:rPr>
          <w:b/>
          <w:bCs/>
        </w:rPr>
        <w:t>(c)</w:t>
      </w:r>
      <w:r w:rsidRPr="00B63B1A">
        <w:rPr>
          <w:b/>
          <w:bCs/>
        </w:rPr>
        <w:tab/>
        <w:t>Systematically review existing laws, policies and regulations to</w:t>
      </w:r>
      <w:r w:rsidRPr="00B63B1A">
        <w:t xml:space="preserve"> </w:t>
      </w:r>
      <w:r w:rsidRPr="00B63B1A">
        <w:rPr>
          <w:b/>
          <w:bCs/>
        </w:rPr>
        <w:t xml:space="preserve">ascertain the legislative action required to conform with the obligations under the Convention, and establish human rights-based action plans with a clear concept of disability that contain measures to promote, protect and fulfil the rights under the </w:t>
      </w:r>
      <w:proofErr w:type="gramStart"/>
      <w:r w:rsidRPr="00B63B1A">
        <w:rPr>
          <w:b/>
          <w:bCs/>
        </w:rPr>
        <w:t>Convention;</w:t>
      </w:r>
      <w:proofErr w:type="gramEnd"/>
    </w:p>
    <w:p w14:paraId="0D92F027" w14:textId="77777777" w:rsidR="00BA45E0" w:rsidRPr="00B63B1A" w:rsidRDefault="00BA45E0" w:rsidP="00BA45E0">
      <w:pPr>
        <w:pStyle w:val="SingleTxtG"/>
        <w:ind w:firstLine="567"/>
        <w:rPr>
          <w:b/>
          <w:bCs/>
        </w:rPr>
      </w:pPr>
      <w:r w:rsidRPr="00B63B1A">
        <w:rPr>
          <w:b/>
          <w:bCs/>
        </w:rPr>
        <w:t>(d)</w:t>
      </w:r>
      <w:r w:rsidRPr="00B63B1A">
        <w:rPr>
          <w:b/>
          <w:bCs/>
        </w:rPr>
        <w:tab/>
        <w:t>Ensure that its judicial and administrative bodies effectively apply the rights enshrined therein in individual cases, be it as bases for claims of action or as guidance for the interpretation of domestic law.</w:t>
      </w:r>
    </w:p>
    <w:p w14:paraId="5913BBCB" w14:textId="77777777" w:rsidR="00BA45E0" w:rsidRPr="00B63B1A" w:rsidRDefault="00BA45E0" w:rsidP="00BA45E0">
      <w:pPr>
        <w:pStyle w:val="SingleTxtG"/>
      </w:pPr>
      <w:r w:rsidRPr="00B63B1A">
        <w:t>9.</w:t>
      </w:r>
      <w:r w:rsidRPr="00B63B1A">
        <w:tab/>
        <w:t>The Committee notes that the current disability policy improves the monitoring of municipalities in their efforts to implement the Convention. It is, however, concerned:</w:t>
      </w:r>
    </w:p>
    <w:p w14:paraId="65183A5A" w14:textId="175BA4F6" w:rsidR="00BA45E0" w:rsidRPr="00B63B1A" w:rsidRDefault="00BA45E0" w:rsidP="00BA45E0">
      <w:pPr>
        <w:pStyle w:val="SingleTxtG"/>
        <w:ind w:firstLine="567"/>
      </w:pPr>
      <w:r w:rsidRPr="00B63B1A">
        <w:t>(a)</w:t>
      </w:r>
      <w:r w:rsidRPr="00B63B1A">
        <w:tab/>
        <w:t xml:space="preserve">About the wide discrepancies in the implementation of the Convention among the regions and the </w:t>
      </w:r>
      <w:proofErr w:type="gramStart"/>
      <w:r w:rsidRPr="00B63B1A">
        <w:t>municipalities;</w:t>
      </w:r>
      <w:proofErr w:type="gramEnd"/>
    </w:p>
    <w:p w14:paraId="6D838634" w14:textId="77777777" w:rsidR="00BA45E0" w:rsidRPr="00B63B1A" w:rsidRDefault="00BA45E0" w:rsidP="00BA45E0">
      <w:pPr>
        <w:pStyle w:val="SingleTxtG"/>
        <w:ind w:firstLine="567"/>
      </w:pPr>
      <w:r w:rsidRPr="00B63B1A">
        <w:t>(b)</w:t>
      </w:r>
      <w:r w:rsidRPr="00B63B1A">
        <w:tab/>
        <w:t xml:space="preserve">Insufficient monitoring of the implementation of the Convention by the regions and the municipalities on the national </w:t>
      </w:r>
      <w:proofErr w:type="gramStart"/>
      <w:r w:rsidRPr="00B63B1A">
        <w:t>level;</w:t>
      </w:r>
      <w:proofErr w:type="gramEnd"/>
    </w:p>
    <w:p w14:paraId="69C06E3A" w14:textId="41DF4137" w:rsidR="00BA45E0" w:rsidRPr="00B63B1A" w:rsidRDefault="00BA45E0" w:rsidP="00BA45E0">
      <w:pPr>
        <w:pStyle w:val="SingleTxtG"/>
        <w:ind w:firstLine="567"/>
      </w:pPr>
      <w:r w:rsidRPr="00B63B1A">
        <w:t>(c)</w:t>
      </w:r>
      <w:r w:rsidRPr="00B63B1A">
        <w:tab/>
        <w:t>Insufficient legal remedies, complaint procedures, and redress mechanisms for persons with disabilities against inadequate implementation of the Convention by the regions and municipalities</w:t>
      </w:r>
      <w:r w:rsidR="00D7121D" w:rsidRPr="00B63B1A">
        <w:t>.</w:t>
      </w:r>
      <w:r w:rsidRPr="00B63B1A">
        <w:t xml:space="preserve"> </w:t>
      </w:r>
    </w:p>
    <w:p w14:paraId="1651924C" w14:textId="77777777" w:rsidR="00BA45E0" w:rsidRPr="00B63B1A" w:rsidRDefault="00BA45E0" w:rsidP="00BA45E0">
      <w:pPr>
        <w:pStyle w:val="SingleTxtG"/>
        <w:rPr>
          <w:b/>
          <w:bCs/>
        </w:rPr>
      </w:pPr>
      <w:r w:rsidRPr="00B63B1A">
        <w:t>10.</w:t>
      </w:r>
      <w:r w:rsidRPr="00B63B1A">
        <w:tab/>
      </w:r>
      <w:r w:rsidRPr="00B63B1A">
        <w:rPr>
          <w:b/>
          <w:bCs/>
        </w:rPr>
        <w:t>The Committee recommends the State party:</w:t>
      </w:r>
    </w:p>
    <w:p w14:paraId="52661E50" w14:textId="77777777" w:rsidR="00BA45E0" w:rsidRPr="00B63B1A" w:rsidRDefault="00BA45E0" w:rsidP="00BA45E0">
      <w:pPr>
        <w:pStyle w:val="SingleTxtG"/>
        <w:ind w:firstLine="567"/>
        <w:rPr>
          <w:b/>
          <w:bCs/>
        </w:rPr>
      </w:pPr>
      <w:r w:rsidRPr="00B63B1A">
        <w:rPr>
          <w:b/>
          <w:bCs/>
        </w:rPr>
        <w:lastRenderedPageBreak/>
        <w:t>(a)</w:t>
      </w:r>
      <w:r w:rsidRPr="00B63B1A">
        <w:rPr>
          <w:b/>
          <w:bCs/>
        </w:rPr>
        <w:tab/>
        <w:t xml:space="preserve">Bearing in mind its obligations under article 4 (5) of the Convention, improve coordination among the regions and municipalities in their efforts to implement the Convention and ensure that their measures to implement the rights of persons with disabilities are in accordance with their obligations under the Convention, and provide persons with disabilities and their representative organisations with effective remedies against inadequate implementation on the regional and municipal levels;  </w:t>
      </w:r>
    </w:p>
    <w:p w14:paraId="32A5BF73" w14:textId="04B8F00B" w:rsidR="00BA45E0" w:rsidRPr="00B63B1A" w:rsidRDefault="00BA45E0" w:rsidP="001661F9">
      <w:pPr>
        <w:pStyle w:val="SingleTxtG"/>
        <w:ind w:firstLine="567"/>
        <w:rPr>
          <w:b/>
          <w:bCs/>
        </w:rPr>
      </w:pPr>
      <w:r w:rsidRPr="00B63B1A">
        <w:tab/>
      </w:r>
      <w:r w:rsidRPr="00B63B1A">
        <w:rPr>
          <w:b/>
          <w:bCs/>
        </w:rPr>
        <w:t>(b)</w:t>
      </w:r>
      <w:r w:rsidRPr="00B63B1A">
        <w:rPr>
          <w:b/>
          <w:bCs/>
        </w:rPr>
        <w:tab/>
        <w:t xml:space="preserve">Establish a mechanism on the national level to effectively monitor the implementation of the Convention by the regions and municipalities, with binding targets, indicators, and effective measures to remedy discerned </w:t>
      </w:r>
      <w:proofErr w:type="gramStart"/>
      <w:r w:rsidRPr="00B63B1A">
        <w:rPr>
          <w:b/>
          <w:bCs/>
        </w:rPr>
        <w:t>insufficiencies;</w:t>
      </w:r>
      <w:proofErr w:type="gramEnd"/>
    </w:p>
    <w:p w14:paraId="1BAE7732" w14:textId="77777777" w:rsidR="00BA45E0" w:rsidRPr="00B63B1A" w:rsidRDefault="00BA45E0" w:rsidP="00BA45E0">
      <w:pPr>
        <w:pStyle w:val="SingleTxtG"/>
        <w:ind w:firstLine="567"/>
        <w:rPr>
          <w:b/>
          <w:bCs/>
        </w:rPr>
      </w:pPr>
      <w:r w:rsidRPr="00B63B1A">
        <w:rPr>
          <w:b/>
          <w:bCs/>
        </w:rPr>
        <w:t>(c)</w:t>
      </w:r>
      <w:r w:rsidRPr="00B63B1A">
        <w:rPr>
          <w:b/>
          <w:bCs/>
        </w:rPr>
        <w:tab/>
        <w:t xml:space="preserve">Establish effective complaint procedures and redress mechanisms against insufficient implementation of the Convention by the regions and municipalities, accessible for individuals and organizations of persons with disabilities. </w:t>
      </w:r>
    </w:p>
    <w:p w14:paraId="0F1F7988" w14:textId="60AD2DA7" w:rsidR="00BA45E0" w:rsidRPr="00B63B1A" w:rsidRDefault="00BA45E0" w:rsidP="00BA45E0">
      <w:pPr>
        <w:pStyle w:val="SingleTxtG"/>
      </w:pPr>
      <w:r w:rsidRPr="00B63B1A">
        <w:t>11.</w:t>
      </w:r>
      <w:r w:rsidRPr="00B63B1A">
        <w:tab/>
        <w:t>The Committee is concerned about the lack of systematic and institutionalized engagement with organizations of persons with disabilities, including organizations of persons with intellectual and/or psychosocial disabilities</w:t>
      </w:r>
      <w:r w:rsidR="006D1E94" w:rsidRPr="00B63B1A">
        <w:t>, of women with disabilities,</w:t>
      </w:r>
      <w:r w:rsidRPr="00B63B1A">
        <w:t xml:space="preserve"> of children with disabilities, </w:t>
      </w:r>
      <w:r w:rsidR="00D349EA" w:rsidRPr="00B63B1A">
        <w:t xml:space="preserve">and </w:t>
      </w:r>
      <w:r w:rsidR="006D1E94" w:rsidRPr="00B63B1A">
        <w:t xml:space="preserve">of national minorities with disabilities </w:t>
      </w:r>
      <w:r w:rsidRPr="00B63B1A">
        <w:t>in all matters affecting them, and of legally entrenched processes to this end.</w:t>
      </w:r>
    </w:p>
    <w:p w14:paraId="45860B02" w14:textId="34DDDD32" w:rsidR="00BA45E0" w:rsidRPr="00B63B1A" w:rsidRDefault="00BA45E0" w:rsidP="00BA45E0">
      <w:pPr>
        <w:pStyle w:val="SingleTxtG"/>
        <w:rPr>
          <w:b/>
        </w:rPr>
      </w:pPr>
      <w:r w:rsidRPr="00B63B1A">
        <w:t>12.</w:t>
      </w:r>
      <w:r w:rsidRPr="00B63B1A">
        <w:tab/>
      </w:r>
      <w:r w:rsidR="00726CB2" w:rsidRPr="00B63B1A">
        <w:rPr>
          <w:b/>
          <w:bCs/>
        </w:rPr>
        <w:t>Recalling the</w:t>
      </w:r>
      <w:r w:rsidR="00726CB2" w:rsidRPr="00B63B1A">
        <w:t xml:space="preserve"> </w:t>
      </w:r>
      <w:r w:rsidR="003C5136" w:rsidRPr="00B63B1A">
        <w:rPr>
          <w:b/>
        </w:rPr>
        <w:t>Committee’s general comment No. 7 (2018), t</w:t>
      </w:r>
      <w:r w:rsidRPr="00B63B1A">
        <w:rPr>
          <w:b/>
        </w:rPr>
        <w:t>he Committee recommends that the State party:</w:t>
      </w:r>
    </w:p>
    <w:p w14:paraId="426112D5" w14:textId="75CC9DF9" w:rsidR="00BA45E0" w:rsidRPr="00B63B1A" w:rsidRDefault="00BA45E0" w:rsidP="001661F9">
      <w:pPr>
        <w:pStyle w:val="SingleTxtG"/>
        <w:ind w:firstLine="567"/>
        <w:rPr>
          <w:b/>
        </w:rPr>
      </w:pPr>
      <w:r w:rsidRPr="00B63B1A">
        <w:rPr>
          <w:b/>
        </w:rPr>
        <w:tab/>
        <w:t>(a)</w:t>
      </w:r>
      <w:r w:rsidRPr="00B63B1A">
        <w:rPr>
          <w:b/>
        </w:rPr>
        <w:tab/>
        <w:t>Develop and implement legally entrenched procedures for close consultation and active involvement of organizations of persons with disabilities, including organizations of persons with intellectual and/or psychosocial disabilities</w:t>
      </w:r>
      <w:r w:rsidR="006D1E94" w:rsidRPr="00B63B1A">
        <w:rPr>
          <w:b/>
        </w:rPr>
        <w:t xml:space="preserve">, women with disabilities, </w:t>
      </w:r>
      <w:r w:rsidRPr="00B63B1A">
        <w:rPr>
          <w:b/>
        </w:rPr>
        <w:t xml:space="preserve">children with disabilities, </w:t>
      </w:r>
      <w:r w:rsidR="00D349EA" w:rsidRPr="00B63B1A">
        <w:rPr>
          <w:b/>
        </w:rPr>
        <w:t xml:space="preserve">and </w:t>
      </w:r>
      <w:r w:rsidR="006D1E94" w:rsidRPr="00B63B1A">
        <w:rPr>
          <w:b/>
        </w:rPr>
        <w:t xml:space="preserve">national minorities with disabilities </w:t>
      </w:r>
      <w:r w:rsidRPr="00B63B1A">
        <w:rPr>
          <w:b/>
        </w:rPr>
        <w:t>in all matters affecting them, set standards governing these procedures, guaranteeing, among others, sufficient time for their responses and providing all relevant documents in accessible formats;</w:t>
      </w:r>
    </w:p>
    <w:p w14:paraId="211C5DAE" w14:textId="6F0634AF" w:rsidR="00BA45E0" w:rsidRPr="00B63B1A" w:rsidRDefault="00BA45E0" w:rsidP="001661F9">
      <w:pPr>
        <w:pStyle w:val="SingleTxtG"/>
        <w:ind w:firstLine="567"/>
        <w:rPr>
          <w:b/>
        </w:rPr>
      </w:pPr>
      <w:r w:rsidRPr="00B63B1A">
        <w:rPr>
          <w:b/>
        </w:rPr>
        <w:tab/>
        <w:t>(b)</w:t>
      </w:r>
      <w:r w:rsidRPr="00B63B1A">
        <w:rPr>
          <w:b/>
        </w:rPr>
        <w:tab/>
      </w:r>
      <w:r w:rsidR="003C5136" w:rsidRPr="00B63B1A">
        <w:rPr>
          <w:b/>
        </w:rPr>
        <w:t>S</w:t>
      </w:r>
      <w:r w:rsidRPr="00B63B1A">
        <w:rPr>
          <w:b/>
        </w:rPr>
        <w:t>trengthen the capacity of organizations of persons with disabilities, including persons with intellectual and/or psychosocial disabilities</w:t>
      </w:r>
      <w:r w:rsidR="006D1E94" w:rsidRPr="00B63B1A">
        <w:rPr>
          <w:b/>
        </w:rPr>
        <w:t xml:space="preserve">, women with disabilities, </w:t>
      </w:r>
      <w:r w:rsidRPr="00B63B1A">
        <w:rPr>
          <w:b/>
        </w:rPr>
        <w:t xml:space="preserve">children with disabilities, </w:t>
      </w:r>
      <w:r w:rsidR="00D349EA" w:rsidRPr="00B63B1A">
        <w:rPr>
          <w:b/>
        </w:rPr>
        <w:t xml:space="preserve">and </w:t>
      </w:r>
      <w:r w:rsidR="006D1E94" w:rsidRPr="00B63B1A">
        <w:rPr>
          <w:b/>
        </w:rPr>
        <w:t xml:space="preserve">national minorities with disabilities </w:t>
      </w:r>
      <w:r w:rsidRPr="00B63B1A">
        <w:rPr>
          <w:b/>
        </w:rPr>
        <w:t>to actively participate in all processes designed to implement the Convention, and allocate sufficient funds for such organizations.</w:t>
      </w:r>
    </w:p>
    <w:p w14:paraId="5842B00E" w14:textId="77777777" w:rsidR="00BA45E0" w:rsidRPr="00B63B1A" w:rsidRDefault="00BA45E0" w:rsidP="00BA45E0">
      <w:pPr>
        <w:pStyle w:val="H1G"/>
      </w:pPr>
      <w:r w:rsidRPr="00B63B1A">
        <w:tab/>
        <w:t>B.</w:t>
      </w:r>
      <w:r w:rsidRPr="00B63B1A">
        <w:tab/>
        <w:t>Specific rights (arts. 5–30)</w:t>
      </w:r>
    </w:p>
    <w:p w14:paraId="1168ECBE" w14:textId="77777777" w:rsidR="00BA45E0" w:rsidRPr="00B63B1A" w:rsidRDefault="00BA45E0" w:rsidP="00BA45E0">
      <w:pPr>
        <w:pStyle w:val="H23G"/>
      </w:pPr>
      <w:r w:rsidRPr="00B63B1A">
        <w:tab/>
      </w:r>
      <w:r w:rsidRPr="00B63B1A">
        <w:tab/>
        <w:t>Equality and non-discrimination (art. 5)</w:t>
      </w:r>
    </w:p>
    <w:p w14:paraId="014EFED5" w14:textId="77777777" w:rsidR="00BA45E0" w:rsidRPr="00B63B1A" w:rsidRDefault="00BA45E0" w:rsidP="00BA45E0">
      <w:pPr>
        <w:pStyle w:val="SingleTxtG"/>
      </w:pPr>
      <w:r w:rsidRPr="00B63B1A">
        <w:t>13.</w:t>
      </w:r>
      <w:r w:rsidRPr="00B63B1A">
        <w:tab/>
        <w:t>The Committee is concerned:</w:t>
      </w:r>
    </w:p>
    <w:p w14:paraId="4E92E1A2" w14:textId="0635D93C" w:rsidR="00BA45E0" w:rsidRPr="00B63B1A" w:rsidRDefault="00BA45E0" w:rsidP="001661F9">
      <w:pPr>
        <w:pStyle w:val="SingleTxtG"/>
        <w:ind w:firstLine="567"/>
      </w:pPr>
      <w:r w:rsidRPr="00B63B1A">
        <w:tab/>
        <w:t>(a)</w:t>
      </w:r>
      <w:r w:rsidRPr="00B63B1A">
        <w:tab/>
        <w:t xml:space="preserve">That the Discrimination Act 2008 does not contain any explicit provisions on intersectional and multiple forms of </w:t>
      </w:r>
      <w:proofErr w:type="gramStart"/>
      <w:r w:rsidRPr="00B63B1A">
        <w:t>discrimination;</w:t>
      </w:r>
      <w:proofErr w:type="gramEnd"/>
      <w:r w:rsidRPr="00B63B1A">
        <w:t xml:space="preserve"> </w:t>
      </w:r>
    </w:p>
    <w:p w14:paraId="73E6DCCA" w14:textId="5AB9E01F" w:rsidR="00BA45E0" w:rsidRPr="00B63B1A" w:rsidRDefault="00BA45E0" w:rsidP="001661F9">
      <w:pPr>
        <w:pStyle w:val="SingleTxtG"/>
        <w:ind w:firstLine="567"/>
      </w:pPr>
      <w:r w:rsidRPr="00B63B1A">
        <w:tab/>
        <w:t>(b)</w:t>
      </w:r>
      <w:r w:rsidRPr="00B63B1A">
        <w:tab/>
        <w:t xml:space="preserve">That the State party’s legislation, including the Discrimination Act 2008, does not define the denial of reasonable accommodation as a form of discrimination throughout the legal system, but that reasonable accommodation is confined to a few selected areas, and that the concept of inadequate accessibility used by the State party is too </w:t>
      </w:r>
      <w:proofErr w:type="gramStart"/>
      <w:r w:rsidRPr="00B63B1A">
        <w:t>narrow;</w:t>
      </w:r>
      <w:proofErr w:type="gramEnd"/>
      <w:r w:rsidRPr="00B63B1A">
        <w:t xml:space="preserve"> </w:t>
      </w:r>
    </w:p>
    <w:p w14:paraId="7AB12DFC" w14:textId="77777777" w:rsidR="00BA45E0" w:rsidRPr="00B63B1A" w:rsidRDefault="00BA45E0" w:rsidP="00BA45E0">
      <w:pPr>
        <w:pStyle w:val="SingleTxtG"/>
        <w:ind w:firstLine="567"/>
      </w:pPr>
      <w:r w:rsidRPr="00B63B1A">
        <w:t>(c)</w:t>
      </w:r>
      <w:r w:rsidRPr="00B63B1A">
        <w:tab/>
        <w:t xml:space="preserve">At the lack of data about hate crime against persons with disabilities, and that hate speech against persons with disabilities is not prohibited under the specific hate crime </w:t>
      </w:r>
      <w:proofErr w:type="gramStart"/>
      <w:r w:rsidRPr="00B63B1A">
        <w:t>legislation;</w:t>
      </w:r>
      <w:proofErr w:type="gramEnd"/>
      <w:r w:rsidRPr="00B63B1A">
        <w:t xml:space="preserve"> </w:t>
      </w:r>
    </w:p>
    <w:p w14:paraId="7A3E1F72" w14:textId="1EF5E2C6" w:rsidR="00BA45E0" w:rsidRPr="00B63B1A" w:rsidRDefault="00BA45E0" w:rsidP="00BA45E0">
      <w:pPr>
        <w:pStyle w:val="SingleTxtG"/>
        <w:ind w:firstLine="567"/>
      </w:pPr>
      <w:r w:rsidRPr="00B63B1A">
        <w:tab/>
        <w:t>(d)</w:t>
      </w:r>
      <w:r w:rsidRPr="00B63B1A">
        <w:tab/>
        <w:t xml:space="preserve">That police activities cannot be challenged under the Discrimination Act 2008, in particular the introduction of new “visitation zones” that have a higher risk for persons with disabilities to be stopped, searched and interrogated without probable </w:t>
      </w:r>
      <w:proofErr w:type="gramStart"/>
      <w:r w:rsidRPr="00B63B1A">
        <w:t>cause;</w:t>
      </w:r>
      <w:proofErr w:type="gramEnd"/>
      <w:r w:rsidRPr="00B63B1A">
        <w:t xml:space="preserve"> </w:t>
      </w:r>
    </w:p>
    <w:p w14:paraId="3C493ED7" w14:textId="38094C41" w:rsidR="00BA45E0" w:rsidRPr="00B63B1A" w:rsidRDefault="00BA45E0" w:rsidP="00BA45E0">
      <w:pPr>
        <w:pStyle w:val="SingleTxtG"/>
        <w:ind w:firstLine="567"/>
      </w:pPr>
      <w:r w:rsidRPr="00B63B1A">
        <w:t>(e)</w:t>
      </w:r>
      <w:r w:rsidRPr="00B63B1A">
        <w:tab/>
        <w:t xml:space="preserve">That not all persons who are blind or partially sighted are eligible for support services under the Act on Support and Service for Persons with Certain Functional Impairments (LSS), </w:t>
      </w:r>
      <w:r w:rsidR="00BB73D0" w:rsidRPr="00B63B1A">
        <w:t xml:space="preserve">or other support schemes, </w:t>
      </w:r>
      <w:r w:rsidRPr="00B63B1A">
        <w:t xml:space="preserve">and need to bear additional cost for support, </w:t>
      </w:r>
      <w:r w:rsidRPr="00B63B1A">
        <w:lastRenderedPageBreak/>
        <w:t xml:space="preserve">inhibiting them from participation in political and public life, cultural life, recreation, leisure and </w:t>
      </w:r>
      <w:proofErr w:type="gramStart"/>
      <w:r w:rsidRPr="00B63B1A">
        <w:t>sport;</w:t>
      </w:r>
      <w:proofErr w:type="gramEnd"/>
      <w:r w:rsidRPr="00B63B1A">
        <w:t xml:space="preserve"> </w:t>
      </w:r>
    </w:p>
    <w:p w14:paraId="60FCA3A2" w14:textId="77777777" w:rsidR="00BA45E0" w:rsidRPr="00B63B1A" w:rsidRDefault="00BA45E0" w:rsidP="00BA45E0">
      <w:pPr>
        <w:pStyle w:val="SingleTxtG"/>
        <w:ind w:firstLine="567"/>
      </w:pPr>
      <w:r w:rsidRPr="00B63B1A">
        <w:t>(f)</w:t>
      </w:r>
      <w:r w:rsidRPr="00B63B1A">
        <w:tab/>
        <w:t>At the lack of implementation of the recommendations issued in its communication No. 45/2018 (Richard Sahlin v. Sweden).</w:t>
      </w:r>
    </w:p>
    <w:p w14:paraId="571E5C69" w14:textId="77777777" w:rsidR="00BA45E0" w:rsidRPr="00B63B1A" w:rsidRDefault="00BA45E0" w:rsidP="00BA45E0">
      <w:pPr>
        <w:pStyle w:val="SingleTxtG"/>
      </w:pPr>
      <w:r w:rsidRPr="00B63B1A">
        <w:t>14.</w:t>
      </w:r>
      <w:r w:rsidRPr="00B63B1A">
        <w:tab/>
      </w:r>
      <w:r w:rsidRPr="00B63B1A">
        <w:rPr>
          <w:b/>
        </w:rPr>
        <w:t>Recalling its general comment No. 6 (2018), the Committee recommends that the State party:</w:t>
      </w:r>
      <w:r w:rsidRPr="00B63B1A">
        <w:t xml:space="preserve"> </w:t>
      </w:r>
    </w:p>
    <w:p w14:paraId="42CC0AD3" w14:textId="4DDE6FD3" w:rsidR="00BA45E0" w:rsidRPr="00B63B1A" w:rsidRDefault="00BA45E0" w:rsidP="001661F9">
      <w:pPr>
        <w:pStyle w:val="SingleTxtG"/>
        <w:ind w:firstLine="567"/>
        <w:rPr>
          <w:b/>
        </w:rPr>
      </w:pPr>
      <w:r w:rsidRPr="00B63B1A">
        <w:rPr>
          <w:b/>
        </w:rPr>
        <w:tab/>
        <w:t>(a)</w:t>
      </w:r>
      <w:r w:rsidRPr="00B63B1A">
        <w:rPr>
          <w:b/>
        </w:rPr>
        <w:tab/>
        <w:t xml:space="preserve">Review the Discrimination Act 2008 to provide for explicit protection from multiple and intersectional forms of discrimination, including discrimination based on the intersection between disability and other status, such as age, sex, gender, race, indigeneity, lesbian, gay, bisexual, transgender and intersex status, ethnicity, migration status, or national </w:t>
      </w:r>
      <w:proofErr w:type="gramStart"/>
      <w:r w:rsidRPr="00B63B1A">
        <w:rPr>
          <w:b/>
        </w:rPr>
        <w:t>origin;</w:t>
      </w:r>
      <w:proofErr w:type="gramEnd"/>
    </w:p>
    <w:p w14:paraId="28C822F6" w14:textId="5A3A76C2" w:rsidR="00BA45E0" w:rsidRPr="00B63B1A" w:rsidRDefault="00BA45E0" w:rsidP="001661F9">
      <w:pPr>
        <w:pStyle w:val="SingleTxtG"/>
        <w:ind w:firstLine="567"/>
        <w:rPr>
          <w:b/>
        </w:rPr>
      </w:pPr>
      <w:r w:rsidRPr="00B63B1A">
        <w:rPr>
          <w:b/>
        </w:rPr>
        <w:tab/>
        <w:t>(b)</w:t>
      </w:r>
      <w:r w:rsidRPr="00B63B1A">
        <w:rPr>
          <w:b/>
        </w:rPr>
        <w:tab/>
        <w:t xml:space="preserve">Amend the Discrimination Act </w:t>
      </w:r>
      <w:proofErr w:type="gramStart"/>
      <w:r w:rsidRPr="00B63B1A">
        <w:rPr>
          <w:b/>
        </w:rPr>
        <w:t>2008,  as</w:t>
      </w:r>
      <w:proofErr w:type="gramEnd"/>
      <w:r w:rsidRPr="00B63B1A">
        <w:rPr>
          <w:b/>
        </w:rPr>
        <w:t xml:space="preserve"> well as other relevant legislation and policies to rescind the restrictions on the prohibition of inadequate accessibility with respect to persons inquiring for work, housing and private persons, and include an express guarantee of reasonable accommodation consistent with article 2 of the Convention, applicable in all areas of the law; </w:t>
      </w:r>
    </w:p>
    <w:p w14:paraId="20F1F6D5" w14:textId="0F06C32A" w:rsidR="00BA45E0" w:rsidRPr="00B63B1A" w:rsidRDefault="00BA45E0" w:rsidP="001661F9">
      <w:pPr>
        <w:pStyle w:val="SingleTxtG"/>
        <w:ind w:firstLine="567"/>
        <w:rPr>
          <w:b/>
        </w:rPr>
      </w:pPr>
      <w:r w:rsidRPr="00B63B1A">
        <w:rPr>
          <w:b/>
        </w:rPr>
        <w:tab/>
        <w:t>(c)</w:t>
      </w:r>
      <w:r w:rsidRPr="00B63B1A">
        <w:rPr>
          <w:b/>
        </w:rPr>
        <w:tab/>
        <w:t>Amend the national legislation on hate crime</w:t>
      </w:r>
      <w:r w:rsidR="00FF7F6A" w:rsidRPr="00B63B1A">
        <w:rPr>
          <w:b/>
        </w:rPr>
        <w:t>s</w:t>
      </w:r>
      <w:r w:rsidRPr="00B63B1A">
        <w:rPr>
          <w:b/>
        </w:rPr>
        <w:t xml:space="preserve"> and include provisions on hate crimes against persons with disabilities, and ensure the collection and analysis of data on hate crime</w:t>
      </w:r>
      <w:r w:rsidR="00FF7F6A" w:rsidRPr="00B63B1A">
        <w:rPr>
          <w:b/>
        </w:rPr>
        <w:t>s</w:t>
      </w:r>
      <w:r w:rsidRPr="00B63B1A">
        <w:rPr>
          <w:b/>
        </w:rPr>
        <w:t xml:space="preserve"> specifically against persons with </w:t>
      </w:r>
      <w:proofErr w:type="gramStart"/>
      <w:r w:rsidRPr="00B63B1A">
        <w:rPr>
          <w:b/>
        </w:rPr>
        <w:t>disabilities;</w:t>
      </w:r>
      <w:proofErr w:type="gramEnd"/>
      <w:r w:rsidRPr="00B63B1A">
        <w:rPr>
          <w:b/>
        </w:rPr>
        <w:t xml:space="preserve"> </w:t>
      </w:r>
    </w:p>
    <w:p w14:paraId="7D971D72" w14:textId="1B98D1B5" w:rsidR="00BA45E0" w:rsidRPr="00B63B1A" w:rsidRDefault="00BA45E0" w:rsidP="001661F9">
      <w:pPr>
        <w:pStyle w:val="SingleTxtG"/>
        <w:ind w:firstLine="567"/>
        <w:rPr>
          <w:b/>
        </w:rPr>
      </w:pPr>
      <w:r w:rsidRPr="00B63B1A">
        <w:rPr>
          <w:b/>
        </w:rPr>
        <w:tab/>
        <w:t>(d)</w:t>
      </w:r>
      <w:r w:rsidRPr="00B63B1A">
        <w:rPr>
          <w:b/>
        </w:rPr>
        <w:tab/>
        <w:t xml:space="preserve">Ensure that all discriminatory actions by the police force can effectively be challenged in a court of </w:t>
      </w:r>
      <w:proofErr w:type="gramStart"/>
      <w:r w:rsidRPr="00B63B1A">
        <w:rPr>
          <w:b/>
        </w:rPr>
        <w:t>law;</w:t>
      </w:r>
      <w:proofErr w:type="gramEnd"/>
      <w:r w:rsidRPr="00B63B1A">
        <w:rPr>
          <w:b/>
        </w:rPr>
        <w:t xml:space="preserve"> </w:t>
      </w:r>
    </w:p>
    <w:p w14:paraId="295196FA" w14:textId="65A731A9" w:rsidR="00BA45E0" w:rsidRPr="00B63B1A" w:rsidRDefault="00BA45E0" w:rsidP="001661F9">
      <w:pPr>
        <w:pStyle w:val="SingleTxtG"/>
        <w:ind w:firstLine="567"/>
        <w:rPr>
          <w:b/>
        </w:rPr>
      </w:pPr>
      <w:r w:rsidRPr="00B63B1A">
        <w:rPr>
          <w:b/>
        </w:rPr>
        <w:tab/>
        <w:t>(e)</w:t>
      </w:r>
      <w:r w:rsidRPr="00B63B1A">
        <w:rPr>
          <w:b/>
        </w:rPr>
        <w:tab/>
        <w:t xml:space="preserve">Extend of provision of support to all persons with disabilities who are blind or partially sighted, under the national legislation, including the Act on Support and Service for Persons with Certain Functional Impairments (LSS), in order to improve their participation in political and public life, cultural life, recreation, leisure and </w:t>
      </w:r>
      <w:proofErr w:type="gramStart"/>
      <w:r w:rsidRPr="00B63B1A">
        <w:rPr>
          <w:b/>
        </w:rPr>
        <w:t>sport;</w:t>
      </w:r>
      <w:proofErr w:type="gramEnd"/>
    </w:p>
    <w:p w14:paraId="3A19B256" w14:textId="7175EC30" w:rsidR="00BA45E0" w:rsidRPr="00B63B1A" w:rsidRDefault="00BA45E0" w:rsidP="00BA45E0">
      <w:pPr>
        <w:pStyle w:val="SingleTxtG"/>
        <w:ind w:firstLine="567"/>
        <w:rPr>
          <w:b/>
        </w:rPr>
      </w:pPr>
      <w:r w:rsidRPr="00B63B1A">
        <w:rPr>
          <w:b/>
        </w:rPr>
        <w:t>(f)</w:t>
      </w:r>
      <w:r w:rsidRPr="00B63B1A">
        <w:rPr>
          <w:b/>
        </w:rPr>
        <w:tab/>
        <w:t>Extend its policy to adhere to recommendations issued in the procedure under Article 2 of the Optional Protocol to the Convention, as practiced with respect to interim measures in communications in asylum cases, to all recommendations issued under this procedure, implement the recommendations issued in Communication No. 45/2018 (Richard Sahlin v. Sweden), and ensure adherence to recommendations under this procedure in the future.</w:t>
      </w:r>
    </w:p>
    <w:p w14:paraId="06DB6BF5" w14:textId="77777777" w:rsidR="00BA45E0" w:rsidRPr="00B63B1A" w:rsidRDefault="00BA45E0" w:rsidP="00BA45E0">
      <w:pPr>
        <w:pStyle w:val="H23G"/>
      </w:pPr>
      <w:r w:rsidRPr="00B63B1A">
        <w:tab/>
      </w:r>
      <w:r w:rsidRPr="00B63B1A">
        <w:tab/>
        <w:t>Women with disabilities (art. 6)</w:t>
      </w:r>
    </w:p>
    <w:p w14:paraId="2AC939E5" w14:textId="77777777" w:rsidR="00BA45E0" w:rsidRPr="00B63B1A" w:rsidRDefault="00BA45E0" w:rsidP="00BA45E0">
      <w:pPr>
        <w:pStyle w:val="SingleTxtG"/>
      </w:pPr>
      <w:r w:rsidRPr="00B63B1A">
        <w:t>15.</w:t>
      </w:r>
      <w:r w:rsidRPr="00B63B1A">
        <w:tab/>
        <w:t>The Committee is concerned about:</w:t>
      </w:r>
    </w:p>
    <w:p w14:paraId="04BEE042" w14:textId="0C05EE24" w:rsidR="00BA45E0" w:rsidRPr="00B63B1A" w:rsidRDefault="00BA45E0" w:rsidP="001661F9">
      <w:pPr>
        <w:pStyle w:val="SingleTxtG"/>
        <w:ind w:firstLine="567"/>
      </w:pPr>
      <w:r w:rsidRPr="00B63B1A">
        <w:tab/>
        <w:t>(a)</w:t>
      </w:r>
      <w:r w:rsidRPr="00B63B1A">
        <w:tab/>
        <w:t xml:space="preserve">The lack of a comprehensive intersectional approach to ensure that issues pertaining to women and girls with disabilities, including migrant </w:t>
      </w:r>
      <w:r w:rsidR="00F67367" w:rsidRPr="00B63B1A">
        <w:t xml:space="preserve">and national minority </w:t>
      </w:r>
      <w:r w:rsidRPr="00B63B1A">
        <w:t xml:space="preserve">women and girls with disabilities, are mainstreamed into both gender and disability legislation and </w:t>
      </w:r>
      <w:proofErr w:type="gramStart"/>
      <w:r w:rsidRPr="00B63B1A">
        <w:t>policies;</w:t>
      </w:r>
      <w:proofErr w:type="gramEnd"/>
    </w:p>
    <w:p w14:paraId="29AE0431" w14:textId="1FE39351" w:rsidR="00BA45E0" w:rsidRPr="00B63B1A" w:rsidRDefault="00BA45E0" w:rsidP="001661F9">
      <w:pPr>
        <w:pStyle w:val="SingleTxtG"/>
        <w:ind w:firstLine="567"/>
      </w:pPr>
      <w:r w:rsidRPr="00B63B1A">
        <w:tab/>
        <w:t>(b)</w:t>
      </w:r>
      <w:r w:rsidRPr="00B63B1A">
        <w:tab/>
        <w:t xml:space="preserve">The lack of disaggregated data about the situation of women and girls with disabilities, and on the impact of legislation and public policies on their rights under the Convention. </w:t>
      </w:r>
    </w:p>
    <w:p w14:paraId="13E398D5" w14:textId="77777777" w:rsidR="00BA45E0" w:rsidRPr="00B63B1A" w:rsidRDefault="00BA45E0" w:rsidP="00BA45E0">
      <w:pPr>
        <w:pStyle w:val="SingleTxtG"/>
      </w:pPr>
      <w:r w:rsidRPr="00B63B1A">
        <w:t>16.</w:t>
      </w:r>
      <w:r w:rsidRPr="00B63B1A">
        <w:tab/>
      </w:r>
      <w:r w:rsidRPr="00B63B1A">
        <w:rPr>
          <w:b/>
        </w:rPr>
        <w:t>The Committee recalls its general comment No. 3 (2016), reiterates its previous recommendation</w:t>
      </w:r>
      <w:r w:rsidRPr="00B63B1A">
        <w:rPr>
          <w:rStyle w:val="Fotnotsreferens"/>
          <w:b/>
        </w:rPr>
        <w:footnoteReference w:id="4"/>
      </w:r>
      <w:r w:rsidRPr="00B63B1A">
        <w:rPr>
          <w:b/>
        </w:rPr>
        <w:t xml:space="preserve">  and the recommendations by the Committee on the Elimination of Discrimination against Women</w:t>
      </w:r>
      <w:r w:rsidRPr="00B63B1A">
        <w:rPr>
          <w:rStyle w:val="Fotnotsreferens"/>
          <w:b/>
        </w:rPr>
        <w:footnoteReference w:id="5"/>
      </w:r>
      <w:r w:rsidRPr="00B63B1A">
        <w:rPr>
          <w:b/>
        </w:rPr>
        <w:t xml:space="preserve">, and recommends that the State party, at the national, </w:t>
      </w:r>
      <w:proofErr w:type="gramStart"/>
      <w:r w:rsidRPr="00B63B1A">
        <w:rPr>
          <w:b/>
        </w:rPr>
        <w:t>regional</w:t>
      </w:r>
      <w:proofErr w:type="gramEnd"/>
      <w:r w:rsidRPr="00B63B1A">
        <w:rPr>
          <w:b/>
        </w:rPr>
        <w:t xml:space="preserve"> and municipal levels: </w:t>
      </w:r>
    </w:p>
    <w:p w14:paraId="1D6ACC5E" w14:textId="0751CAB8" w:rsidR="00BA45E0" w:rsidRPr="00B63B1A" w:rsidRDefault="00BA45E0" w:rsidP="001661F9">
      <w:pPr>
        <w:pStyle w:val="SingleTxtG"/>
        <w:ind w:firstLine="567"/>
        <w:rPr>
          <w:b/>
        </w:rPr>
      </w:pPr>
      <w:r w:rsidRPr="00B63B1A">
        <w:rPr>
          <w:b/>
        </w:rPr>
        <w:tab/>
        <w:t>(a)</w:t>
      </w:r>
      <w:r w:rsidRPr="00B63B1A">
        <w:rPr>
          <w:b/>
        </w:rPr>
        <w:tab/>
        <w:t xml:space="preserve">Strengthen measures and policy mechanisms to ensure that the rights of women and girls with disabilities, including migrant </w:t>
      </w:r>
      <w:r w:rsidR="00AF1448" w:rsidRPr="00B63B1A">
        <w:rPr>
          <w:b/>
        </w:rPr>
        <w:t xml:space="preserve">and national minority </w:t>
      </w:r>
      <w:r w:rsidRPr="00B63B1A">
        <w:rPr>
          <w:b/>
        </w:rPr>
        <w:t xml:space="preserve">women and </w:t>
      </w:r>
      <w:r w:rsidRPr="00B63B1A">
        <w:rPr>
          <w:b/>
        </w:rPr>
        <w:lastRenderedPageBreak/>
        <w:t>girls with disabilities, are comprehensively mainstreamed in</w:t>
      </w:r>
      <w:r w:rsidR="00FF7F6A" w:rsidRPr="00B63B1A">
        <w:rPr>
          <w:b/>
        </w:rPr>
        <w:t>t</w:t>
      </w:r>
      <w:r w:rsidRPr="00B63B1A">
        <w:rPr>
          <w:b/>
        </w:rPr>
        <w:t xml:space="preserve">o all gender equality and disability-related legislation and </w:t>
      </w:r>
      <w:proofErr w:type="gramStart"/>
      <w:r w:rsidRPr="00B63B1A">
        <w:rPr>
          <w:b/>
        </w:rPr>
        <w:t>policies;</w:t>
      </w:r>
      <w:proofErr w:type="gramEnd"/>
    </w:p>
    <w:p w14:paraId="252EF357" w14:textId="6B604BAC" w:rsidR="00BA45E0" w:rsidRPr="00B63B1A" w:rsidRDefault="00BA45E0" w:rsidP="001661F9">
      <w:pPr>
        <w:pStyle w:val="SingleTxtG"/>
        <w:ind w:firstLine="567"/>
        <w:rPr>
          <w:b/>
        </w:rPr>
      </w:pPr>
      <w:r w:rsidRPr="00B63B1A">
        <w:rPr>
          <w:b/>
        </w:rPr>
        <w:tab/>
        <w:t>(b)</w:t>
      </w:r>
      <w:r w:rsidRPr="00B63B1A">
        <w:rPr>
          <w:b/>
        </w:rPr>
        <w:tab/>
        <w:t xml:space="preserve">Ensure that data collection systems and impact assessment of legislation and policies include indicators and disaggregated data on women and girls with disabilities. </w:t>
      </w:r>
    </w:p>
    <w:p w14:paraId="153A0522" w14:textId="77777777" w:rsidR="00BA45E0" w:rsidRPr="00B63B1A" w:rsidRDefault="00BA45E0" w:rsidP="00BA45E0">
      <w:pPr>
        <w:pStyle w:val="H23G"/>
      </w:pPr>
      <w:r w:rsidRPr="00B63B1A">
        <w:tab/>
      </w:r>
      <w:r w:rsidRPr="00B63B1A">
        <w:tab/>
        <w:t>Children with disabilities (art. 7)</w:t>
      </w:r>
    </w:p>
    <w:p w14:paraId="6DE3A97D" w14:textId="77777777" w:rsidR="00BA45E0" w:rsidRPr="00B63B1A" w:rsidRDefault="00BA45E0" w:rsidP="00BA45E0">
      <w:pPr>
        <w:pStyle w:val="SingleTxtG"/>
      </w:pPr>
      <w:r w:rsidRPr="00B63B1A">
        <w:t>17.</w:t>
      </w:r>
      <w:r w:rsidRPr="00B63B1A">
        <w:tab/>
        <w:t>The Committee is concerned:</w:t>
      </w:r>
    </w:p>
    <w:p w14:paraId="51EA0CD5" w14:textId="02E8022C" w:rsidR="00BA45E0" w:rsidRPr="00B63B1A" w:rsidRDefault="00BA45E0" w:rsidP="001661F9">
      <w:pPr>
        <w:pStyle w:val="SingleTxtG"/>
        <w:ind w:firstLine="567"/>
      </w:pPr>
      <w:r w:rsidRPr="00B63B1A">
        <w:tab/>
        <w:t>(a)</w:t>
      </w:r>
      <w:r w:rsidRPr="00B63B1A">
        <w:tab/>
        <w:t xml:space="preserve">That children with disabilities are exposed to multiple and intersecting forms of discrimination, including in education, access to social services and personal assistance in the community, institutionalization, ill-treatment, violence and abuse, including sexual violence, in </w:t>
      </w:r>
      <w:proofErr w:type="gramStart"/>
      <w:r w:rsidRPr="00B63B1A">
        <w:t>institutions;</w:t>
      </w:r>
      <w:proofErr w:type="gramEnd"/>
      <w:r w:rsidRPr="00B63B1A">
        <w:t xml:space="preserve"> </w:t>
      </w:r>
    </w:p>
    <w:p w14:paraId="1AFB1AED" w14:textId="4E402FF6" w:rsidR="00BA45E0" w:rsidRPr="00B63B1A" w:rsidRDefault="00BA45E0" w:rsidP="00BA45E0">
      <w:pPr>
        <w:pStyle w:val="SingleTxtG"/>
        <w:ind w:firstLine="567"/>
      </w:pPr>
      <w:r w:rsidRPr="00B63B1A">
        <w:t>(b)</w:t>
      </w:r>
      <w:r w:rsidRPr="00B63B1A">
        <w:tab/>
        <w:t xml:space="preserve">That parents of children with disabilities, in particular children with intellectual and/or psychosocial disabilities, </w:t>
      </w:r>
      <w:r w:rsidR="00061899" w:rsidRPr="00B63B1A">
        <w:t xml:space="preserve">neurodivergent children, including </w:t>
      </w:r>
      <w:r w:rsidRPr="00B63B1A">
        <w:t xml:space="preserve">autistic children, and children with Down syndrome, are not provided with adequate information and the requisite support by medical </w:t>
      </w:r>
      <w:proofErr w:type="gramStart"/>
      <w:r w:rsidRPr="00B63B1A">
        <w:t>personnel;</w:t>
      </w:r>
      <w:proofErr w:type="gramEnd"/>
    </w:p>
    <w:p w14:paraId="2E44BDE1" w14:textId="22ADD3BF" w:rsidR="00BA45E0" w:rsidRPr="00B63B1A" w:rsidRDefault="00BA45E0" w:rsidP="001661F9">
      <w:pPr>
        <w:pStyle w:val="SingleTxtG"/>
        <w:ind w:firstLine="567"/>
      </w:pPr>
      <w:r w:rsidRPr="00B63B1A">
        <w:tab/>
        <w:t>(c)</w:t>
      </w:r>
      <w:r w:rsidRPr="00B63B1A">
        <w:tab/>
        <w:t>Insufficient measures to ensure that the views of children with disabilities are heard in all decisions affecting them, including in criminal and asylum procedures.</w:t>
      </w:r>
    </w:p>
    <w:p w14:paraId="1E353B07" w14:textId="77777777" w:rsidR="00BA45E0" w:rsidRPr="00B63B1A" w:rsidRDefault="00BA45E0" w:rsidP="00BA45E0">
      <w:pPr>
        <w:pStyle w:val="SingleTxtG"/>
        <w:rPr>
          <w:b/>
          <w:bCs/>
        </w:rPr>
      </w:pPr>
      <w:r w:rsidRPr="00B63B1A">
        <w:t>18.</w:t>
      </w:r>
      <w:r w:rsidRPr="00B63B1A">
        <w:tab/>
      </w:r>
      <w:r w:rsidRPr="00B63B1A">
        <w:rPr>
          <w:b/>
          <w:bCs/>
        </w:rPr>
        <w:t>The Committee, recalling its joint statement with the Committee on the Rights of the Child on the rights of children with disabilities, and the recommendations of the Committee on the Rights of the Child</w:t>
      </w:r>
      <w:r w:rsidRPr="00B63B1A">
        <w:rPr>
          <w:rStyle w:val="Fotnotsreferens"/>
          <w:b/>
          <w:bCs/>
        </w:rPr>
        <w:footnoteReference w:id="6"/>
      </w:r>
      <w:r w:rsidRPr="00B63B1A">
        <w:rPr>
          <w:b/>
          <w:bCs/>
        </w:rPr>
        <w:t>, recommends that the State party:</w:t>
      </w:r>
    </w:p>
    <w:p w14:paraId="7B2650A9" w14:textId="1C7F7E5B" w:rsidR="00BA45E0" w:rsidRPr="00B63B1A" w:rsidRDefault="00BA45E0" w:rsidP="001661F9">
      <w:pPr>
        <w:pStyle w:val="SingleTxtG"/>
        <w:ind w:firstLine="567"/>
        <w:rPr>
          <w:b/>
          <w:bCs/>
        </w:rPr>
      </w:pPr>
      <w:r w:rsidRPr="00B63B1A">
        <w:rPr>
          <w:b/>
          <w:bCs/>
        </w:rPr>
        <w:tab/>
        <w:t>(a)</w:t>
      </w:r>
      <w:r w:rsidRPr="00B63B1A">
        <w:rPr>
          <w:b/>
          <w:bCs/>
        </w:rPr>
        <w:tab/>
        <w:t xml:space="preserve">Strengthen the implementation of national legislation on children’s rights </w:t>
      </w:r>
      <w:r w:rsidR="00BB73D0" w:rsidRPr="00B63B1A">
        <w:rPr>
          <w:b/>
          <w:bCs/>
        </w:rPr>
        <w:t>by ensuring</w:t>
      </w:r>
      <w:r w:rsidRPr="00B63B1A">
        <w:rPr>
          <w:b/>
          <w:bCs/>
        </w:rPr>
        <w:t xml:space="preserve"> that it is inclusive of all children with disabilities in all areas of life, foster safe and nurturing children’s environments, respectful of the life and dignity of children with disabilities, on an equal basis with other </w:t>
      </w:r>
      <w:proofErr w:type="gramStart"/>
      <w:r w:rsidRPr="00B63B1A">
        <w:rPr>
          <w:b/>
          <w:bCs/>
        </w:rPr>
        <w:t>children;</w:t>
      </w:r>
      <w:proofErr w:type="gramEnd"/>
    </w:p>
    <w:p w14:paraId="07F14A6D" w14:textId="6E93DA34" w:rsidR="00BA45E0" w:rsidRPr="00B63B1A" w:rsidRDefault="00BA45E0" w:rsidP="001661F9">
      <w:pPr>
        <w:pStyle w:val="SingleTxtG"/>
        <w:ind w:firstLine="567"/>
        <w:rPr>
          <w:b/>
          <w:bCs/>
        </w:rPr>
      </w:pPr>
      <w:r w:rsidRPr="00B63B1A">
        <w:rPr>
          <w:b/>
          <w:bCs/>
        </w:rPr>
        <w:tab/>
        <w:t>(b)</w:t>
      </w:r>
      <w:r w:rsidRPr="00B63B1A">
        <w:rPr>
          <w:b/>
          <w:bCs/>
        </w:rPr>
        <w:tab/>
        <w:t xml:space="preserve">Ensure the availability, accessibility and quality of inclusive early intervention services, as well as mobility aids, devices, assistive technologies and transportation for children with disabilities, and adequate information and necessary support for their </w:t>
      </w:r>
      <w:proofErr w:type="gramStart"/>
      <w:r w:rsidRPr="00B63B1A">
        <w:rPr>
          <w:b/>
          <w:bCs/>
        </w:rPr>
        <w:t>parents;</w:t>
      </w:r>
      <w:proofErr w:type="gramEnd"/>
    </w:p>
    <w:p w14:paraId="4EC0E1C8" w14:textId="1C57E3EA" w:rsidR="00BA45E0" w:rsidRPr="00B63B1A" w:rsidRDefault="00BA45E0" w:rsidP="001661F9">
      <w:pPr>
        <w:pStyle w:val="SingleTxtG"/>
        <w:ind w:firstLine="567"/>
        <w:rPr>
          <w:b/>
          <w:bCs/>
        </w:rPr>
      </w:pPr>
      <w:r w:rsidRPr="00B63B1A">
        <w:rPr>
          <w:b/>
          <w:bCs/>
        </w:rPr>
        <w:tab/>
        <w:t>(c)</w:t>
      </w:r>
      <w:r w:rsidRPr="00B63B1A">
        <w:rPr>
          <w:b/>
          <w:bCs/>
        </w:rPr>
        <w:tab/>
        <w:t>Guarantee the respect of the evolving capacities of children with disabilities to ensure that they can form their own views and express them freely in all matters affecting them, including in criminal and asylum proceedings, and ensure that their views are given due weight in accordance with their age and maturity; and ensure that they receive disability- and age-appropriate support to realize their right to be heard.</w:t>
      </w:r>
    </w:p>
    <w:p w14:paraId="58A2999C" w14:textId="77777777" w:rsidR="00BA45E0" w:rsidRPr="00B63B1A" w:rsidRDefault="00BA45E0" w:rsidP="00BA45E0">
      <w:pPr>
        <w:pStyle w:val="H23G"/>
      </w:pPr>
      <w:r w:rsidRPr="00B63B1A">
        <w:tab/>
      </w:r>
      <w:r w:rsidRPr="00B63B1A">
        <w:tab/>
        <w:t>Awareness-raising (art. 8)</w:t>
      </w:r>
    </w:p>
    <w:p w14:paraId="70EBDB59" w14:textId="77777777" w:rsidR="00BA45E0" w:rsidRPr="00B63B1A" w:rsidRDefault="00BA45E0" w:rsidP="00BA45E0">
      <w:pPr>
        <w:pStyle w:val="SingleTxtG"/>
      </w:pPr>
      <w:r w:rsidRPr="00B63B1A">
        <w:t>19.</w:t>
      </w:r>
      <w:r w:rsidRPr="00B63B1A">
        <w:tab/>
        <w:t>The Committee is concerned about:</w:t>
      </w:r>
    </w:p>
    <w:p w14:paraId="234AD1D5" w14:textId="64648274" w:rsidR="00BA45E0" w:rsidRPr="00B63B1A" w:rsidRDefault="00BA45E0" w:rsidP="001661F9">
      <w:pPr>
        <w:pStyle w:val="SingleTxtG"/>
        <w:ind w:firstLine="567"/>
      </w:pPr>
      <w:r w:rsidRPr="00B63B1A">
        <w:tab/>
        <w:t>(a)</w:t>
      </w:r>
      <w:r w:rsidRPr="00B63B1A">
        <w:tab/>
        <w:t xml:space="preserve">Negative attitudes against persons with disabilities, particularly against persons with intellectual and/or psychosocial disabilities, permeating processes and decisions on pre-natal testing and abortion, geared toward the extinction of certain types of intellectual </w:t>
      </w:r>
      <w:proofErr w:type="gramStart"/>
      <w:r w:rsidRPr="00B63B1A">
        <w:t>impairments;</w:t>
      </w:r>
      <w:proofErr w:type="gramEnd"/>
    </w:p>
    <w:p w14:paraId="08608C75" w14:textId="77777777" w:rsidR="00BA45E0" w:rsidRPr="00B63B1A" w:rsidRDefault="00BA45E0" w:rsidP="00BA45E0">
      <w:pPr>
        <w:pStyle w:val="SingleTxtG"/>
        <w:ind w:firstLine="567"/>
      </w:pPr>
      <w:r w:rsidRPr="00B63B1A">
        <w:t>(b)</w:t>
      </w:r>
      <w:r w:rsidRPr="00B63B1A">
        <w:tab/>
        <w:t xml:space="preserve">The persistence of stereotypes, negative attitudes and hate speech in the State party towards persons with disabilities and particularly persons with disabilities who face multiple and intersecting forms of </w:t>
      </w:r>
      <w:proofErr w:type="gramStart"/>
      <w:r w:rsidRPr="00B63B1A">
        <w:t>discrimination;</w:t>
      </w:r>
      <w:proofErr w:type="gramEnd"/>
      <w:r w:rsidRPr="00B63B1A">
        <w:t xml:space="preserve"> </w:t>
      </w:r>
    </w:p>
    <w:p w14:paraId="7AF92131" w14:textId="77777777" w:rsidR="00BA45E0" w:rsidRPr="00B63B1A" w:rsidRDefault="00BA45E0" w:rsidP="00BA45E0">
      <w:pPr>
        <w:pStyle w:val="SingleTxtG"/>
        <w:ind w:firstLine="567"/>
      </w:pPr>
      <w:r w:rsidRPr="00B63B1A">
        <w:t>(c)</w:t>
      </w:r>
      <w:r w:rsidRPr="00B63B1A">
        <w:tab/>
        <w:t xml:space="preserve">The lack of awareness among the </w:t>
      </w:r>
      <w:proofErr w:type="gramStart"/>
      <w:r w:rsidRPr="00B63B1A">
        <w:t>general public</w:t>
      </w:r>
      <w:proofErr w:type="gramEnd"/>
      <w:r w:rsidRPr="00B63B1A">
        <w:t>, public officials, and decision makers of the rights of persons with disabilities, persons with disabilities’ requirements especially in the areas of work, education and housing.</w:t>
      </w:r>
    </w:p>
    <w:p w14:paraId="427B59F3" w14:textId="77777777" w:rsidR="00BA45E0" w:rsidRPr="00B63B1A" w:rsidRDefault="00BA45E0" w:rsidP="00BA45E0">
      <w:pPr>
        <w:pStyle w:val="SingleTxtG"/>
        <w:keepNext/>
      </w:pPr>
      <w:r w:rsidRPr="00B63B1A">
        <w:lastRenderedPageBreak/>
        <w:t>20.</w:t>
      </w:r>
      <w:r w:rsidRPr="00B63B1A">
        <w:tab/>
      </w:r>
      <w:r w:rsidRPr="00B63B1A">
        <w:rPr>
          <w:b/>
        </w:rPr>
        <w:t>The Committee recommends that the State party:</w:t>
      </w:r>
    </w:p>
    <w:p w14:paraId="11369094" w14:textId="4AA065A9" w:rsidR="00BA45E0" w:rsidRPr="00B63B1A" w:rsidRDefault="00BA45E0" w:rsidP="001661F9">
      <w:pPr>
        <w:pStyle w:val="SingleTxtG"/>
        <w:ind w:firstLine="567"/>
        <w:rPr>
          <w:b/>
        </w:rPr>
      </w:pPr>
      <w:r w:rsidRPr="00B63B1A">
        <w:rPr>
          <w:b/>
        </w:rPr>
        <w:tab/>
        <w:t>(a)</w:t>
      </w:r>
      <w:r w:rsidRPr="00B63B1A">
        <w:rPr>
          <w:b/>
        </w:rPr>
        <w:tab/>
        <w:t xml:space="preserve">Ensure that medical and social advice on pre-natal testing and abortion rendered by professional staff does not convey negative attitudes against persons with intellectual and/or psychosocial disabilities and is not aimed at extinguishing certain types of </w:t>
      </w:r>
      <w:proofErr w:type="gramStart"/>
      <w:r w:rsidRPr="00B63B1A">
        <w:rPr>
          <w:b/>
        </w:rPr>
        <w:t>impairments;</w:t>
      </w:r>
      <w:proofErr w:type="gramEnd"/>
    </w:p>
    <w:p w14:paraId="7555344F" w14:textId="77777777" w:rsidR="00BA45E0" w:rsidRPr="00B63B1A" w:rsidRDefault="00BA45E0" w:rsidP="00BA45E0">
      <w:pPr>
        <w:pStyle w:val="SingleTxtG"/>
        <w:ind w:firstLine="567"/>
        <w:rPr>
          <w:b/>
        </w:rPr>
      </w:pPr>
      <w:r w:rsidRPr="00B63B1A">
        <w:rPr>
          <w:b/>
        </w:rPr>
        <w:t>(b)</w:t>
      </w:r>
      <w:r w:rsidRPr="00B63B1A">
        <w:rPr>
          <w:b/>
        </w:rPr>
        <w:tab/>
        <w:t xml:space="preserve">Carry out media campaigns aimed at eliminating prejudices, negative stereotypes, harmful practices, and hate speech in all aspects of life and advancing sustained and systemic attitudinal change, particularly focusing on women and girls with disabilities, persons with intellectual and/or psychosocial disabilities and children with </w:t>
      </w:r>
      <w:proofErr w:type="gramStart"/>
      <w:r w:rsidRPr="00B63B1A">
        <w:rPr>
          <w:b/>
        </w:rPr>
        <w:t>disabilities;</w:t>
      </w:r>
      <w:proofErr w:type="gramEnd"/>
      <w:r w:rsidRPr="00B63B1A">
        <w:rPr>
          <w:b/>
        </w:rPr>
        <w:t xml:space="preserve"> </w:t>
      </w:r>
    </w:p>
    <w:p w14:paraId="60C4C3E4" w14:textId="205AE10C" w:rsidR="00BA45E0" w:rsidRPr="00B63B1A" w:rsidRDefault="00BA45E0" w:rsidP="00BA45E0">
      <w:pPr>
        <w:pStyle w:val="SingleTxtG"/>
        <w:ind w:firstLine="567"/>
        <w:rPr>
          <w:b/>
        </w:rPr>
      </w:pPr>
      <w:r w:rsidRPr="00B63B1A">
        <w:rPr>
          <w:b/>
        </w:rPr>
        <w:t>(c)</w:t>
      </w:r>
      <w:r w:rsidRPr="00B63B1A">
        <w:rPr>
          <w:b/>
        </w:rPr>
        <w:tab/>
        <w:t>Reinforce and increase intensive training courses on the rights of persons with disabilities and the human rights model of disability for students, judges, law enforcement</w:t>
      </w:r>
      <w:r w:rsidR="0057643A" w:rsidRPr="00B63B1A">
        <w:rPr>
          <w:b/>
        </w:rPr>
        <w:t xml:space="preserve"> officers</w:t>
      </w:r>
      <w:r w:rsidRPr="00B63B1A">
        <w:rPr>
          <w:b/>
        </w:rPr>
        <w:t xml:space="preserve">, police, teachers, health-care </w:t>
      </w:r>
      <w:proofErr w:type="gramStart"/>
      <w:r w:rsidRPr="00B63B1A">
        <w:rPr>
          <w:b/>
        </w:rPr>
        <w:t>professionals</w:t>
      </w:r>
      <w:proofErr w:type="gramEnd"/>
      <w:r w:rsidRPr="00B63B1A">
        <w:rPr>
          <w:b/>
        </w:rPr>
        <w:t xml:space="preserve"> and members of the community at large.</w:t>
      </w:r>
    </w:p>
    <w:p w14:paraId="779BF224" w14:textId="77777777" w:rsidR="00BA45E0" w:rsidRPr="00B63B1A" w:rsidRDefault="00BA45E0" w:rsidP="00BA45E0">
      <w:pPr>
        <w:pStyle w:val="H23G"/>
      </w:pPr>
      <w:r w:rsidRPr="00B63B1A">
        <w:tab/>
      </w:r>
      <w:r w:rsidRPr="00B63B1A">
        <w:tab/>
        <w:t xml:space="preserve">Accessibility (art. 9) </w:t>
      </w:r>
    </w:p>
    <w:p w14:paraId="34A559FF" w14:textId="77777777" w:rsidR="00BA45E0" w:rsidRPr="00B63B1A" w:rsidRDefault="00BA45E0" w:rsidP="00BA45E0">
      <w:pPr>
        <w:pStyle w:val="SingleTxtG"/>
      </w:pPr>
      <w:r w:rsidRPr="00B63B1A">
        <w:t>21.</w:t>
      </w:r>
      <w:r w:rsidRPr="00B63B1A">
        <w:tab/>
        <w:t xml:space="preserve">The Committee is concerned: </w:t>
      </w:r>
    </w:p>
    <w:p w14:paraId="467A5C7C" w14:textId="57B2D883" w:rsidR="00BA45E0" w:rsidRPr="00B63B1A" w:rsidRDefault="00BA45E0" w:rsidP="001661F9">
      <w:pPr>
        <w:pStyle w:val="SingleTxtG"/>
        <w:ind w:firstLine="567"/>
      </w:pPr>
      <w:r w:rsidRPr="00B63B1A">
        <w:tab/>
        <w:t>(a)</w:t>
      </w:r>
      <w:r w:rsidRPr="00B63B1A">
        <w:tab/>
        <w:t>That the legal provisions and rules on accessibility in all areas of life, including in public procurement, are not evenly enforced across the State party’s territory, and about the  lack of measures to mainstream universal design in all domains of life, including in public transport, buildings, facilities, public spaces, services, as well as physical, informational, communicative and digital access, in research and in new technology such as artificial intelligence;</w:t>
      </w:r>
    </w:p>
    <w:p w14:paraId="5F3ADA82" w14:textId="77777777" w:rsidR="00BA45E0" w:rsidRPr="00B63B1A" w:rsidRDefault="00BA45E0" w:rsidP="00BA45E0">
      <w:pPr>
        <w:pStyle w:val="SingleTxtG"/>
        <w:ind w:firstLine="567"/>
      </w:pPr>
      <w:r w:rsidRPr="00B63B1A">
        <w:t>(b)</w:t>
      </w:r>
      <w:r w:rsidRPr="00B63B1A">
        <w:tab/>
        <w:t xml:space="preserve">The lack of institutionalized mechanism for the participation of organizations of persons with disabilities in the development of accessibility standards and the lack of complaint procedures against violations of such standards available for persons with disabilities and their representative </w:t>
      </w:r>
      <w:proofErr w:type="gramStart"/>
      <w:r w:rsidRPr="00B63B1A">
        <w:t>organizations;</w:t>
      </w:r>
      <w:proofErr w:type="gramEnd"/>
    </w:p>
    <w:p w14:paraId="6FDDA8C8" w14:textId="77777777" w:rsidR="00BA45E0" w:rsidRPr="00B63B1A" w:rsidRDefault="00BA45E0" w:rsidP="00BA45E0">
      <w:pPr>
        <w:pStyle w:val="SingleTxtG"/>
        <w:ind w:firstLine="567"/>
      </w:pPr>
      <w:r w:rsidRPr="00B63B1A">
        <w:t>(c)</w:t>
      </w:r>
      <w:r w:rsidRPr="00B63B1A">
        <w:tab/>
        <w:t>About barriers faced by persons with disabilities with regard to digital accessibility and electronic identification.</w:t>
      </w:r>
    </w:p>
    <w:p w14:paraId="25A0EEA7" w14:textId="77777777" w:rsidR="00BA45E0" w:rsidRPr="00B63B1A" w:rsidRDefault="00BA45E0" w:rsidP="00BA45E0">
      <w:pPr>
        <w:pStyle w:val="SingleTxtG"/>
        <w:rPr>
          <w:b/>
          <w:bCs/>
        </w:rPr>
      </w:pPr>
      <w:r w:rsidRPr="00B63B1A">
        <w:t>22.</w:t>
      </w:r>
      <w:r w:rsidRPr="00B63B1A">
        <w:tab/>
      </w:r>
      <w:r w:rsidRPr="00B63B1A">
        <w:rPr>
          <w:b/>
          <w:bCs/>
        </w:rPr>
        <w:t>Recalling its general comment No. 2 (2014) and referring to the pledges in the coalition agreement of 2021, the Committee recommends that the State party:</w:t>
      </w:r>
    </w:p>
    <w:p w14:paraId="29F04906" w14:textId="29EEE57C" w:rsidR="00BA45E0" w:rsidRPr="00B63B1A" w:rsidRDefault="00BA45E0" w:rsidP="001661F9">
      <w:pPr>
        <w:pStyle w:val="SingleTxtG"/>
        <w:ind w:firstLine="567"/>
        <w:rPr>
          <w:b/>
        </w:rPr>
      </w:pPr>
      <w:r w:rsidRPr="00B63B1A">
        <w:rPr>
          <w:b/>
          <w:bCs/>
        </w:rPr>
        <w:tab/>
        <w:t>(a)</w:t>
      </w:r>
      <w:r w:rsidRPr="00B63B1A">
        <w:rPr>
          <w:b/>
          <w:bCs/>
        </w:rPr>
        <w:tab/>
        <w:t>Ensure that national, regional and municipal legislation provide for accessibility in all areas of life, including</w:t>
      </w:r>
      <w:r w:rsidRPr="00B63B1A">
        <w:rPr>
          <w:b/>
        </w:rPr>
        <w:t xml:space="preserve"> in public procurement, in accordance with article 9 of the Convention, that they are effectively and evenly enforced, and promote universal design in the development of standards and </w:t>
      </w:r>
      <w:proofErr w:type="gramStart"/>
      <w:r w:rsidRPr="00B63B1A">
        <w:rPr>
          <w:b/>
        </w:rPr>
        <w:t>guidelines;</w:t>
      </w:r>
      <w:proofErr w:type="gramEnd"/>
      <w:r w:rsidRPr="00B63B1A">
        <w:rPr>
          <w:b/>
        </w:rPr>
        <w:t xml:space="preserve"> </w:t>
      </w:r>
    </w:p>
    <w:p w14:paraId="022E222E" w14:textId="77777777" w:rsidR="00BA45E0" w:rsidRPr="00B63B1A" w:rsidRDefault="00BA45E0" w:rsidP="00BA45E0">
      <w:pPr>
        <w:pStyle w:val="SingleTxtG"/>
        <w:ind w:firstLine="567"/>
        <w:rPr>
          <w:b/>
        </w:rPr>
      </w:pPr>
      <w:r w:rsidRPr="00B63B1A">
        <w:rPr>
          <w:b/>
        </w:rPr>
        <w:t>(b)</w:t>
      </w:r>
      <w:r w:rsidRPr="00B63B1A">
        <w:rPr>
          <w:b/>
        </w:rPr>
        <w:tab/>
      </w:r>
      <w:r w:rsidRPr="00B63B1A">
        <w:rPr>
          <w:b/>
          <w:bCs/>
        </w:rPr>
        <w:t>Establish</w:t>
      </w:r>
      <w:r w:rsidRPr="00B63B1A">
        <w:rPr>
          <w:b/>
        </w:rPr>
        <w:t xml:space="preserve"> institutionalized mechanisms for close consultation with and the active involvement of persons with disabilities through their organizations in the processes for the development of accessibility standards, as well as complaint mechanisms for persons with disabilities and their representative organizations to lodge complaints in cases of violation of their right to </w:t>
      </w:r>
      <w:proofErr w:type="gramStart"/>
      <w:r w:rsidRPr="00B63B1A">
        <w:rPr>
          <w:b/>
        </w:rPr>
        <w:t>accessibility;</w:t>
      </w:r>
      <w:proofErr w:type="gramEnd"/>
      <w:r w:rsidRPr="00B63B1A">
        <w:rPr>
          <w:b/>
        </w:rPr>
        <w:t xml:space="preserve"> </w:t>
      </w:r>
    </w:p>
    <w:p w14:paraId="3EE1FEA0" w14:textId="6EFEBAFA" w:rsidR="00BA45E0" w:rsidRPr="00B63B1A" w:rsidRDefault="00BA45E0" w:rsidP="001661F9">
      <w:pPr>
        <w:pStyle w:val="SingleTxtG"/>
        <w:ind w:firstLine="567"/>
        <w:rPr>
          <w:b/>
        </w:rPr>
      </w:pPr>
      <w:r w:rsidRPr="00B63B1A">
        <w:rPr>
          <w:b/>
        </w:rPr>
        <w:tab/>
        <w:t>(c)</w:t>
      </w:r>
      <w:r w:rsidRPr="00B63B1A">
        <w:rPr>
          <w:b/>
        </w:rPr>
        <w:tab/>
        <w:t>Ensure digital accessibility and electronic identification for persons with disabilities.</w:t>
      </w:r>
    </w:p>
    <w:p w14:paraId="7EF217A4" w14:textId="77777777" w:rsidR="00BA45E0" w:rsidRPr="00B63B1A" w:rsidRDefault="00BA45E0" w:rsidP="00BA45E0">
      <w:pPr>
        <w:pStyle w:val="H23G"/>
      </w:pPr>
      <w:r w:rsidRPr="00B63B1A">
        <w:tab/>
      </w:r>
      <w:r w:rsidRPr="00B63B1A">
        <w:tab/>
        <w:t>Right to life (art. 10)</w:t>
      </w:r>
    </w:p>
    <w:p w14:paraId="2881E56B" w14:textId="77777777" w:rsidR="00BA45E0" w:rsidRPr="00B63B1A" w:rsidRDefault="00BA45E0" w:rsidP="00BA45E0">
      <w:pPr>
        <w:pStyle w:val="SingleTxtG"/>
      </w:pPr>
      <w:r w:rsidRPr="00B63B1A">
        <w:t>23.</w:t>
      </w:r>
      <w:r w:rsidRPr="00B63B1A">
        <w:tab/>
        <w:t xml:space="preserve">The Committee notes the information provided by the State party’s delegation on the training provided to the police force, and the development of a handbook on interacting with persons with psychosocial disabilities, as well as a planned strategy for mental health and suicide prevention, which is going to include a disability perspective. However, it notes with concern: </w:t>
      </w:r>
    </w:p>
    <w:p w14:paraId="1A4AF0A5" w14:textId="1D5BED49" w:rsidR="00BA45E0" w:rsidRPr="00B63B1A" w:rsidRDefault="00BA45E0" w:rsidP="00BA45E0">
      <w:pPr>
        <w:pStyle w:val="SingleTxtG"/>
        <w:ind w:firstLine="567"/>
      </w:pPr>
      <w:r w:rsidRPr="00B63B1A">
        <w:t>(a)</w:t>
      </w:r>
      <w:r w:rsidRPr="00B63B1A">
        <w:tab/>
        <w:t>A disproportionately high use of firearms by the police force against persons with psychosocial disabilities, and a substantial rise in the use of firearms by the police force in recent years</w:t>
      </w:r>
      <w:r w:rsidR="00BB73D0" w:rsidRPr="00B63B1A">
        <w:t>, as evidenced in the report “</w:t>
      </w:r>
      <w:proofErr w:type="spellStart"/>
      <w:r w:rsidR="00BB73D0" w:rsidRPr="00B63B1A">
        <w:t>Polismyndighetens</w:t>
      </w:r>
      <w:proofErr w:type="spellEnd"/>
      <w:r w:rsidR="00BB73D0" w:rsidRPr="00B63B1A">
        <w:t xml:space="preserve"> </w:t>
      </w:r>
      <w:proofErr w:type="spellStart"/>
      <w:r w:rsidR="00BB73D0" w:rsidRPr="00B63B1A">
        <w:t>användning</w:t>
      </w:r>
      <w:proofErr w:type="spellEnd"/>
      <w:r w:rsidR="00BB73D0" w:rsidRPr="00B63B1A">
        <w:t xml:space="preserve"> </w:t>
      </w:r>
      <w:proofErr w:type="spellStart"/>
      <w:r w:rsidR="00BB73D0" w:rsidRPr="00B63B1A">
        <w:t>av</w:t>
      </w:r>
      <w:proofErr w:type="spellEnd"/>
      <w:r w:rsidR="00BB73D0" w:rsidRPr="00B63B1A">
        <w:t xml:space="preserve"> </w:t>
      </w:r>
      <w:proofErr w:type="spellStart"/>
      <w:r w:rsidR="00BB73D0" w:rsidRPr="00B63B1A">
        <w:t>särskilda</w:t>
      </w:r>
      <w:proofErr w:type="spellEnd"/>
      <w:r w:rsidR="00BB73D0" w:rsidRPr="00B63B1A">
        <w:t xml:space="preserve"> </w:t>
      </w:r>
      <w:proofErr w:type="spellStart"/>
      <w:r w:rsidR="00BB73D0" w:rsidRPr="00B63B1A">
        <w:t>hjälpmedel</w:t>
      </w:r>
      <w:proofErr w:type="spellEnd"/>
      <w:r w:rsidR="00BB73D0" w:rsidRPr="00B63B1A">
        <w:t xml:space="preserve"> för </w:t>
      </w:r>
      <w:proofErr w:type="spellStart"/>
      <w:r w:rsidR="00BB73D0" w:rsidRPr="00B63B1A">
        <w:t>våldsanvändning</w:t>
      </w:r>
      <w:proofErr w:type="spellEnd"/>
      <w:r w:rsidR="00BB73D0" w:rsidRPr="00B63B1A">
        <w:t xml:space="preserve">, </w:t>
      </w:r>
      <w:proofErr w:type="spellStart"/>
      <w:r w:rsidR="00BB73D0" w:rsidRPr="00B63B1A">
        <w:t>Redovisning</w:t>
      </w:r>
      <w:proofErr w:type="spellEnd"/>
      <w:r w:rsidR="00BB73D0" w:rsidRPr="00B63B1A">
        <w:t xml:space="preserve"> </w:t>
      </w:r>
      <w:proofErr w:type="spellStart"/>
      <w:r w:rsidR="00BB73D0" w:rsidRPr="00B63B1A">
        <w:t>av</w:t>
      </w:r>
      <w:proofErr w:type="spellEnd"/>
      <w:r w:rsidR="00BB73D0" w:rsidRPr="00B63B1A">
        <w:t xml:space="preserve"> data </w:t>
      </w:r>
      <w:proofErr w:type="spellStart"/>
      <w:r w:rsidR="00BB73D0" w:rsidRPr="00B63B1A">
        <w:t>fram</w:t>
      </w:r>
      <w:proofErr w:type="spellEnd"/>
      <w:r w:rsidR="00BB73D0" w:rsidRPr="00B63B1A">
        <w:t xml:space="preserve"> till 31 </w:t>
      </w:r>
      <w:proofErr w:type="spellStart"/>
      <w:r w:rsidR="00BB73D0" w:rsidRPr="00B63B1A">
        <w:t>december</w:t>
      </w:r>
      <w:proofErr w:type="spellEnd"/>
      <w:r w:rsidR="00BB73D0" w:rsidRPr="00B63B1A">
        <w:t xml:space="preserve"> 2022</w:t>
      </w:r>
      <w:proofErr w:type="gramStart"/>
      <w:r w:rsidR="00BB73D0" w:rsidRPr="00B63B1A">
        <w:t>”</w:t>
      </w:r>
      <w:r w:rsidRPr="00B63B1A">
        <w:t>;</w:t>
      </w:r>
      <w:proofErr w:type="gramEnd"/>
      <w:r w:rsidRPr="00B63B1A">
        <w:t xml:space="preserve">  </w:t>
      </w:r>
    </w:p>
    <w:p w14:paraId="47FEBB50" w14:textId="0FE2109A" w:rsidR="00BA45E0" w:rsidRPr="00B63B1A" w:rsidRDefault="00BA45E0" w:rsidP="00BA45E0">
      <w:pPr>
        <w:pStyle w:val="SingleTxtG"/>
        <w:ind w:firstLine="567"/>
      </w:pPr>
      <w:r w:rsidRPr="00B63B1A">
        <w:lastRenderedPageBreak/>
        <w:tab/>
        <w:t>(b)</w:t>
      </w:r>
      <w:r w:rsidRPr="00B63B1A">
        <w:tab/>
        <w:t>The lack of measures taken to prevent avoidable deaths among persons with disabilities in institutions.</w:t>
      </w:r>
    </w:p>
    <w:p w14:paraId="1264CFF2" w14:textId="77777777" w:rsidR="00BA45E0" w:rsidRPr="00B63B1A" w:rsidRDefault="00BA45E0" w:rsidP="00BA45E0">
      <w:pPr>
        <w:pStyle w:val="SingleTxtG"/>
        <w:rPr>
          <w:b/>
          <w:bCs/>
        </w:rPr>
      </w:pPr>
      <w:r w:rsidRPr="00B63B1A">
        <w:t>24.</w:t>
      </w:r>
      <w:r w:rsidRPr="00B63B1A">
        <w:tab/>
      </w:r>
      <w:r w:rsidRPr="00B63B1A">
        <w:rPr>
          <w:b/>
          <w:bCs/>
        </w:rPr>
        <w:t xml:space="preserve">The Committee recommends that the State party: </w:t>
      </w:r>
    </w:p>
    <w:p w14:paraId="408A2F43" w14:textId="4F853569" w:rsidR="00BA45E0" w:rsidRPr="00B63B1A" w:rsidRDefault="00BA45E0" w:rsidP="00BA45E0">
      <w:pPr>
        <w:pStyle w:val="SingleTxtG"/>
        <w:ind w:firstLine="567"/>
        <w:rPr>
          <w:b/>
          <w:bCs/>
        </w:rPr>
      </w:pPr>
      <w:r w:rsidRPr="00B63B1A">
        <w:rPr>
          <w:b/>
          <w:bCs/>
        </w:rPr>
        <w:t>(a)</w:t>
      </w:r>
      <w:r w:rsidRPr="00B63B1A">
        <w:rPr>
          <w:b/>
          <w:bCs/>
        </w:rPr>
        <w:tab/>
        <w:t>Strengthen the training for law enforcement officers in order to avoid the excessive use of force and firearms, in particular with regard to persons with psychosocial disabilities</w:t>
      </w:r>
      <w:r w:rsidR="005779FC" w:rsidRPr="00B63B1A">
        <w:rPr>
          <w:b/>
          <w:bCs/>
        </w:rPr>
        <w:t xml:space="preserve">, and persons with disabilities from intersecting backgrounds of </w:t>
      </w:r>
      <w:proofErr w:type="gramStart"/>
      <w:r w:rsidR="005779FC" w:rsidRPr="00B63B1A">
        <w:rPr>
          <w:b/>
          <w:bCs/>
        </w:rPr>
        <w:t>marginalization</w:t>
      </w:r>
      <w:r w:rsidRPr="00B63B1A">
        <w:rPr>
          <w:b/>
          <w:bCs/>
        </w:rPr>
        <w:t>;</w:t>
      </w:r>
      <w:proofErr w:type="gramEnd"/>
    </w:p>
    <w:p w14:paraId="4A8DFACC" w14:textId="67A94929" w:rsidR="001179F3" w:rsidRPr="00B63B1A" w:rsidRDefault="00BA45E0" w:rsidP="00BA45E0">
      <w:pPr>
        <w:pStyle w:val="SingleTxtG"/>
        <w:ind w:firstLine="567"/>
        <w:rPr>
          <w:b/>
          <w:bCs/>
        </w:rPr>
      </w:pPr>
      <w:r w:rsidRPr="00B63B1A">
        <w:rPr>
          <w:b/>
          <w:bCs/>
        </w:rPr>
        <w:t>(b)</w:t>
      </w:r>
      <w:r w:rsidRPr="00B63B1A">
        <w:rPr>
          <w:b/>
          <w:bCs/>
        </w:rPr>
        <w:tab/>
        <w:t xml:space="preserve">Develop a comprehensive approach to prevent avoidable deaths among persons with disabilities in institutions, including by providing training to all professionals working with persons with disabilities, such as health, social, education and community workers, and ensure that criminal acts are effectively prosecuted. </w:t>
      </w:r>
    </w:p>
    <w:p w14:paraId="22E2647C" w14:textId="77777777" w:rsidR="006B5EE1" w:rsidRPr="00B63B1A" w:rsidRDefault="006B5EE1" w:rsidP="006B5EE1">
      <w:pPr>
        <w:pStyle w:val="H23G"/>
      </w:pPr>
      <w:r w:rsidRPr="00B63B1A">
        <w:tab/>
      </w:r>
      <w:r w:rsidRPr="00B63B1A">
        <w:tab/>
        <w:t>Situations of risk and humanitarian emergencies (art. 11)</w:t>
      </w:r>
    </w:p>
    <w:p w14:paraId="6235A8A9" w14:textId="30813CCD" w:rsidR="006B5EE1" w:rsidRPr="00B63B1A" w:rsidRDefault="006B5EE1" w:rsidP="006B5EE1">
      <w:pPr>
        <w:pStyle w:val="SingleTxtG"/>
      </w:pPr>
      <w:r w:rsidRPr="00B63B1A">
        <w:t>2</w:t>
      </w:r>
      <w:r w:rsidR="00EC12F7" w:rsidRPr="00B63B1A">
        <w:t>5</w:t>
      </w:r>
      <w:r w:rsidRPr="00B63B1A">
        <w:t>.</w:t>
      </w:r>
      <w:r w:rsidRPr="00B63B1A">
        <w:tab/>
        <w:t xml:space="preserve">The Committee is concerned: </w:t>
      </w:r>
    </w:p>
    <w:p w14:paraId="481807D2" w14:textId="6F4A0436" w:rsidR="00616489" w:rsidRPr="00B63B1A" w:rsidRDefault="006B5EE1" w:rsidP="001661F9">
      <w:pPr>
        <w:pStyle w:val="SingleTxtG"/>
        <w:ind w:firstLine="567"/>
      </w:pPr>
      <w:r w:rsidRPr="00B63B1A">
        <w:tab/>
        <w:t>(a)</w:t>
      </w:r>
      <w:r w:rsidRPr="00B63B1A">
        <w:tab/>
      </w:r>
      <w:r w:rsidR="00EF4E7A" w:rsidRPr="00B63B1A">
        <w:t>At t</w:t>
      </w:r>
      <w:r w:rsidR="00616489" w:rsidRPr="00B63B1A">
        <w:t xml:space="preserve">he lack of an overarching disability-inclusive, human rights-based strategy for disaster risk reduction, humanitarian action and emergency management, including public </w:t>
      </w:r>
      <w:r w:rsidR="00616489" w:rsidRPr="00B63B1A">
        <w:rPr>
          <w:lang w:val="en-US"/>
        </w:rPr>
        <w:t xml:space="preserve">health </w:t>
      </w:r>
      <w:proofErr w:type="gramStart"/>
      <w:r w:rsidR="00616489" w:rsidRPr="00B63B1A">
        <w:rPr>
          <w:lang w:val="en-US"/>
        </w:rPr>
        <w:t>emergen</w:t>
      </w:r>
      <w:r w:rsidR="00346971" w:rsidRPr="00B63B1A">
        <w:rPr>
          <w:lang w:val="en-US"/>
        </w:rPr>
        <w:t xml:space="preserve">cies </w:t>
      </w:r>
      <w:r w:rsidR="00616489" w:rsidRPr="00B63B1A">
        <w:t xml:space="preserve"> to</w:t>
      </w:r>
      <w:proofErr w:type="gramEnd"/>
      <w:r w:rsidR="00616489" w:rsidRPr="00B63B1A">
        <w:t xml:space="preserve"> coordinate prevention and response measures across national and local levels;</w:t>
      </w:r>
    </w:p>
    <w:p w14:paraId="72B0A6C9" w14:textId="3C7BAA88" w:rsidR="00EF4E7A" w:rsidRPr="00B63B1A" w:rsidRDefault="00EF4E7A" w:rsidP="001661F9">
      <w:pPr>
        <w:pStyle w:val="SingleTxtG"/>
        <w:ind w:firstLine="567"/>
      </w:pPr>
      <w:r w:rsidRPr="00B63B1A">
        <w:tab/>
        <w:t>(b)</w:t>
      </w:r>
      <w:r w:rsidRPr="00B63B1A">
        <w:tab/>
      </w:r>
      <w:r w:rsidR="00346971" w:rsidRPr="00B63B1A">
        <w:t>About the extent to which the C</w:t>
      </w:r>
      <w:r w:rsidRPr="00B63B1A">
        <w:t xml:space="preserve">limate </w:t>
      </w:r>
      <w:r w:rsidR="00346971" w:rsidRPr="00B63B1A">
        <w:t>P</w:t>
      </w:r>
      <w:r w:rsidRPr="00B63B1A">
        <w:t xml:space="preserve">olicy </w:t>
      </w:r>
      <w:r w:rsidR="00346971" w:rsidRPr="00B63B1A">
        <w:t xml:space="preserve">Framework is disability-inclusive, including for Sami people with </w:t>
      </w:r>
      <w:proofErr w:type="gramStart"/>
      <w:r w:rsidR="00346971" w:rsidRPr="00B63B1A">
        <w:t>disabilities</w:t>
      </w:r>
      <w:r w:rsidR="00DC799F" w:rsidRPr="00B63B1A">
        <w:t>;</w:t>
      </w:r>
      <w:proofErr w:type="gramEnd"/>
      <w:r w:rsidR="00DC799F" w:rsidRPr="00B63B1A">
        <w:t xml:space="preserve"> </w:t>
      </w:r>
      <w:r w:rsidRPr="00B63B1A">
        <w:t xml:space="preserve"> </w:t>
      </w:r>
    </w:p>
    <w:p w14:paraId="35046260" w14:textId="5F32B82D" w:rsidR="006B5EE1" w:rsidRPr="00B63B1A" w:rsidRDefault="00EF4E7A" w:rsidP="001661F9">
      <w:pPr>
        <w:pStyle w:val="SingleTxtG"/>
        <w:ind w:firstLine="567"/>
      </w:pPr>
      <w:r w:rsidRPr="00B63B1A">
        <w:tab/>
        <w:t>(c)</w:t>
      </w:r>
      <w:r w:rsidRPr="00B63B1A">
        <w:tab/>
        <w:t xml:space="preserve">That persons with disabilities, in particular persons with intellectual and/or psychosocial disabilities and neurodivergent persons do not receive effective communication during situations of risk and </w:t>
      </w:r>
      <w:proofErr w:type="gramStart"/>
      <w:r w:rsidRPr="00B63B1A">
        <w:t>emergencies</w:t>
      </w:r>
      <w:r w:rsidR="00DC799F" w:rsidRPr="00B63B1A">
        <w:t>;</w:t>
      </w:r>
      <w:proofErr w:type="gramEnd"/>
      <w:r w:rsidRPr="00B63B1A">
        <w:t xml:space="preserve">  </w:t>
      </w:r>
    </w:p>
    <w:p w14:paraId="4E0D6E11" w14:textId="05907F89" w:rsidR="00DC799F" w:rsidRPr="00B63B1A" w:rsidRDefault="006456EF" w:rsidP="00BA45E0">
      <w:pPr>
        <w:pStyle w:val="SingleTxtG"/>
        <w:ind w:firstLine="567"/>
      </w:pPr>
      <w:r w:rsidRPr="00B63B1A">
        <w:t>(d)</w:t>
      </w:r>
      <w:r w:rsidR="00BA45E0" w:rsidRPr="00B63B1A">
        <w:tab/>
      </w:r>
      <w:r w:rsidRPr="00B63B1A">
        <w:t xml:space="preserve">That refugees, and asylum seekers with disabilities, </w:t>
      </w:r>
      <w:r w:rsidR="00933BEE" w:rsidRPr="00B63B1A">
        <w:t xml:space="preserve">persons under temporary </w:t>
      </w:r>
      <w:proofErr w:type="spellStart"/>
      <w:r w:rsidR="00933BEE" w:rsidRPr="00B63B1A">
        <w:t>protection</w:t>
      </w:r>
      <w:r w:rsidRPr="00B63B1A">
        <w:t>from</w:t>
      </w:r>
      <w:proofErr w:type="spellEnd"/>
      <w:r w:rsidRPr="00B63B1A">
        <w:t xml:space="preserve"> Ukraine do not receive adequate access to essential services and disability related supports.</w:t>
      </w:r>
    </w:p>
    <w:p w14:paraId="043EBB12" w14:textId="5AE9E536" w:rsidR="006B5EE1" w:rsidRPr="00B63B1A" w:rsidRDefault="006B5EE1" w:rsidP="006B5EE1">
      <w:pPr>
        <w:pStyle w:val="SingleTxtG"/>
        <w:rPr>
          <w:b/>
          <w:bCs/>
        </w:rPr>
      </w:pPr>
      <w:r w:rsidRPr="00B63B1A">
        <w:t>2</w:t>
      </w:r>
      <w:r w:rsidR="00EC12F7" w:rsidRPr="00B63B1A">
        <w:t>6</w:t>
      </w:r>
      <w:r w:rsidRPr="00B63B1A">
        <w:t>.</w:t>
      </w:r>
      <w:r w:rsidRPr="00B63B1A">
        <w:rPr>
          <w:b/>
          <w:bCs/>
        </w:rPr>
        <w:tab/>
        <w:t xml:space="preserve">Recalling the </w:t>
      </w:r>
      <w:r w:rsidRPr="00B63B1A">
        <w:rPr>
          <w:rFonts w:eastAsia="Times New Roman" w:cstheme="minorHAnsi"/>
          <w:b/>
          <w:bCs/>
        </w:rPr>
        <w:t xml:space="preserve">Sendai Framework for Disaster Risk Reduction 2015–2030 </w:t>
      </w:r>
      <w:r w:rsidRPr="00B63B1A">
        <w:rPr>
          <w:b/>
          <w:bCs/>
        </w:rPr>
        <w:t xml:space="preserve">and the Guidelines on Inclusion of Persons with Disabilities in Humanitarian Action, the Committee recommends that the State party, in close consultation </w:t>
      </w:r>
      <w:proofErr w:type="gramStart"/>
      <w:r w:rsidRPr="00B63B1A">
        <w:rPr>
          <w:b/>
          <w:bCs/>
        </w:rPr>
        <w:t>and  active</w:t>
      </w:r>
      <w:proofErr w:type="gramEnd"/>
      <w:r w:rsidRPr="00B63B1A">
        <w:rPr>
          <w:b/>
          <w:bCs/>
        </w:rPr>
        <w:t xml:space="preserve"> involvement of persons with disabilities through their representative organization</w:t>
      </w:r>
      <w:r w:rsidR="00255D1C" w:rsidRPr="00B63B1A">
        <w:rPr>
          <w:b/>
          <w:bCs/>
        </w:rPr>
        <w:t>s</w:t>
      </w:r>
      <w:r w:rsidRPr="00B63B1A">
        <w:rPr>
          <w:b/>
          <w:bCs/>
        </w:rPr>
        <w:t>:</w:t>
      </w:r>
      <w:r w:rsidR="00346971" w:rsidRPr="00B63B1A">
        <w:rPr>
          <w:b/>
          <w:bCs/>
        </w:rPr>
        <w:t xml:space="preserve"> </w:t>
      </w:r>
    </w:p>
    <w:p w14:paraId="7EDF5487" w14:textId="77FD46A7" w:rsidR="00255D1C" w:rsidRPr="00B63B1A" w:rsidRDefault="00EF4E7A" w:rsidP="001B4958">
      <w:pPr>
        <w:pStyle w:val="SingleTxtG"/>
        <w:ind w:firstLine="567"/>
        <w:rPr>
          <w:b/>
          <w:bCs/>
        </w:rPr>
      </w:pPr>
      <w:r w:rsidRPr="00B63B1A">
        <w:rPr>
          <w:b/>
          <w:bCs/>
        </w:rPr>
        <w:tab/>
      </w:r>
      <w:r w:rsidR="006B5EE1" w:rsidRPr="00B63B1A">
        <w:rPr>
          <w:b/>
          <w:bCs/>
        </w:rPr>
        <w:t>(a)</w:t>
      </w:r>
      <w:r w:rsidR="006B5EE1" w:rsidRPr="00B63B1A">
        <w:rPr>
          <w:b/>
          <w:bCs/>
        </w:rPr>
        <w:tab/>
      </w:r>
      <w:r w:rsidR="00255D1C" w:rsidRPr="00B63B1A">
        <w:rPr>
          <w:b/>
          <w:bCs/>
        </w:rPr>
        <w:t xml:space="preserve">Develop an overarching disability-inclusive, human rights-based strategy for all situations of risk and humanitarian emergencies, including public health emergencies, climate change and disaster risk reduction, to ensure coordination at </w:t>
      </w:r>
      <w:r w:rsidR="00D86FB0" w:rsidRPr="00B63B1A">
        <w:rPr>
          <w:b/>
          <w:bCs/>
        </w:rPr>
        <w:t xml:space="preserve">the </w:t>
      </w:r>
      <w:r w:rsidR="00255D1C" w:rsidRPr="00B63B1A">
        <w:rPr>
          <w:b/>
          <w:bCs/>
        </w:rPr>
        <w:t xml:space="preserve">national, </w:t>
      </w:r>
      <w:r w:rsidR="00DD2C4E" w:rsidRPr="00B63B1A">
        <w:rPr>
          <w:b/>
          <w:bCs/>
        </w:rPr>
        <w:t>region</w:t>
      </w:r>
      <w:r w:rsidR="00D86FB0" w:rsidRPr="00B63B1A">
        <w:rPr>
          <w:b/>
          <w:bCs/>
        </w:rPr>
        <w:t>al</w:t>
      </w:r>
      <w:r w:rsidR="00255D1C" w:rsidRPr="00B63B1A">
        <w:rPr>
          <w:b/>
          <w:bCs/>
        </w:rPr>
        <w:t xml:space="preserve"> and municipal </w:t>
      </w:r>
      <w:proofErr w:type="gramStart"/>
      <w:r w:rsidR="00255D1C" w:rsidRPr="00B63B1A">
        <w:rPr>
          <w:b/>
          <w:bCs/>
        </w:rPr>
        <w:t>levels;</w:t>
      </w:r>
      <w:proofErr w:type="gramEnd"/>
    </w:p>
    <w:p w14:paraId="759B4BDF" w14:textId="43DEDEBB" w:rsidR="006B5EE1" w:rsidRPr="00B63B1A" w:rsidRDefault="00255D1C" w:rsidP="001B4958">
      <w:pPr>
        <w:pStyle w:val="SingleTxtG"/>
        <w:ind w:firstLine="567"/>
        <w:rPr>
          <w:b/>
          <w:bCs/>
        </w:rPr>
      </w:pPr>
      <w:r w:rsidRPr="00B63B1A">
        <w:rPr>
          <w:b/>
          <w:bCs/>
        </w:rPr>
        <w:t>(b)</w:t>
      </w:r>
      <w:r w:rsidRPr="00B63B1A">
        <w:rPr>
          <w:b/>
          <w:bCs/>
        </w:rPr>
        <w:tab/>
      </w:r>
      <w:r w:rsidR="00D86FB0" w:rsidRPr="00B63B1A">
        <w:rPr>
          <w:b/>
          <w:bCs/>
        </w:rPr>
        <w:t>T</w:t>
      </w:r>
      <w:r w:rsidR="00CB62B5" w:rsidRPr="00B63B1A">
        <w:rPr>
          <w:b/>
          <w:bCs/>
        </w:rPr>
        <w:t>ake measures to ensure implementation of the Climate Policy Framework is disability-inclusive</w:t>
      </w:r>
      <w:r w:rsidR="00D86FB0" w:rsidRPr="00B63B1A">
        <w:rPr>
          <w:b/>
          <w:bCs/>
        </w:rPr>
        <w:t>, including for Sami people with di</w:t>
      </w:r>
      <w:r w:rsidR="00BA45E0" w:rsidRPr="00B63B1A">
        <w:rPr>
          <w:b/>
          <w:bCs/>
        </w:rPr>
        <w:t>s</w:t>
      </w:r>
      <w:r w:rsidR="00D86FB0" w:rsidRPr="00B63B1A">
        <w:rPr>
          <w:b/>
          <w:bCs/>
        </w:rPr>
        <w:t>abilities</w:t>
      </w:r>
      <w:r w:rsidR="00CB62B5" w:rsidRPr="00B63B1A">
        <w:rPr>
          <w:b/>
          <w:bCs/>
        </w:rPr>
        <w:t xml:space="preserve"> and consistent with the UN Framework Convention on Climate </w:t>
      </w:r>
      <w:proofErr w:type="gramStart"/>
      <w:r w:rsidR="00CB62B5" w:rsidRPr="00B63B1A">
        <w:rPr>
          <w:b/>
          <w:bCs/>
        </w:rPr>
        <w:t>Change</w:t>
      </w:r>
      <w:r w:rsidR="006B5EE1" w:rsidRPr="00B63B1A">
        <w:rPr>
          <w:b/>
          <w:bCs/>
        </w:rPr>
        <w:t>;</w:t>
      </w:r>
      <w:proofErr w:type="gramEnd"/>
    </w:p>
    <w:p w14:paraId="61BA9BE7" w14:textId="071046D8" w:rsidR="006B5EE1" w:rsidRPr="00B63B1A" w:rsidRDefault="006B5EE1" w:rsidP="001B4958">
      <w:pPr>
        <w:pStyle w:val="SingleTxtG"/>
        <w:ind w:firstLine="567"/>
        <w:rPr>
          <w:b/>
          <w:bCs/>
        </w:rPr>
      </w:pPr>
      <w:r w:rsidRPr="00B63B1A">
        <w:rPr>
          <w:b/>
          <w:bCs/>
        </w:rPr>
        <w:tab/>
        <w:t>(</w:t>
      </w:r>
      <w:r w:rsidR="00255D1C" w:rsidRPr="00B63B1A">
        <w:rPr>
          <w:b/>
          <w:bCs/>
        </w:rPr>
        <w:t>c</w:t>
      </w:r>
      <w:r w:rsidRPr="00B63B1A">
        <w:rPr>
          <w:b/>
          <w:bCs/>
        </w:rPr>
        <w:t>)</w:t>
      </w:r>
      <w:r w:rsidRPr="00B63B1A">
        <w:rPr>
          <w:b/>
          <w:bCs/>
        </w:rPr>
        <w:tab/>
      </w:r>
      <w:r w:rsidR="00255D1C" w:rsidRPr="00B63B1A">
        <w:rPr>
          <w:b/>
          <w:bCs/>
        </w:rPr>
        <w:t xml:space="preserve">Ensure that all persons with disabilities, in particular persons with intellectual and/or psychosocial disabilities and neurodivergent persons in situations of risk and humanitarian emergencies, including </w:t>
      </w:r>
      <w:r w:rsidR="006D25B1" w:rsidRPr="00B63B1A">
        <w:rPr>
          <w:b/>
          <w:bCs/>
        </w:rPr>
        <w:t>public health emergencies</w:t>
      </w:r>
      <w:r w:rsidR="00255D1C" w:rsidRPr="00B63B1A">
        <w:rPr>
          <w:b/>
          <w:bCs/>
        </w:rPr>
        <w:t xml:space="preserve">, </w:t>
      </w:r>
      <w:r w:rsidR="006D25B1" w:rsidRPr="00B63B1A">
        <w:rPr>
          <w:b/>
          <w:bCs/>
        </w:rPr>
        <w:t>have</w:t>
      </w:r>
      <w:r w:rsidR="00255D1C" w:rsidRPr="00B63B1A">
        <w:rPr>
          <w:b/>
          <w:bCs/>
        </w:rPr>
        <w:t xml:space="preserve"> access to accessible modes of communication and information</w:t>
      </w:r>
      <w:r w:rsidR="00E11DC6" w:rsidRPr="00B63B1A">
        <w:rPr>
          <w:b/>
          <w:bCs/>
        </w:rPr>
        <w:t xml:space="preserve">, including Easy Read, Braille and sign </w:t>
      </w:r>
      <w:proofErr w:type="gramStart"/>
      <w:r w:rsidR="00E11DC6" w:rsidRPr="00B63B1A">
        <w:rPr>
          <w:b/>
          <w:bCs/>
        </w:rPr>
        <w:t>language</w:t>
      </w:r>
      <w:r w:rsidR="00E9299B" w:rsidRPr="00B63B1A">
        <w:rPr>
          <w:b/>
          <w:bCs/>
        </w:rPr>
        <w:t>;</w:t>
      </w:r>
      <w:proofErr w:type="gramEnd"/>
      <w:r w:rsidR="00255D1C" w:rsidRPr="00B63B1A">
        <w:rPr>
          <w:b/>
          <w:bCs/>
        </w:rPr>
        <w:t xml:space="preserve"> </w:t>
      </w:r>
    </w:p>
    <w:p w14:paraId="7B7CC7D8" w14:textId="3CF3CC3B" w:rsidR="006D25B1" w:rsidRPr="00B63B1A" w:rsidRDefault="006D25B1" w:rsidP="001B4958">
      <w:pPr>
        <w:pStyle w:val="SingleTxtG"/>
        <w:ind w:firstLine="567"/>
        <w:rPr>
          <w:b/>
          <w:bCs/>
        </w:rPr>
      </w:pPr>
      <w:r w:rsidRPr="00B63B1A">
        <w:rPr>
          <w:b/>
          <w:bCs/>
        </w:rPr>
        <w:t>(d)</w:t>
      </w:r>
      <w:r w:rsidR="00BA45E0" w:rsidRPr="00B63B1A">
        <w:rPr>
          <w:b/>
          <w:bCs/>
        </w:rPr>
        <w:tab/>
      </w:r>
      <w:r w:rsidRPr="00B63B1A">
        <w:rPr>
          <w:b/>
          <w:bCs/>
        </w:rPr>
        <w:t xml:space="preserve">Ensure that refugees and asylum seekers with disabilities, including </w:t>
      </w:r>
      <w:r w:rsidR="00933BEE" w:rsidRPr="00B63B1A">
        <w:rPr>
          <w:b/>
          <w:bCs/>
        </w:rPr>
        <w:t xml:space="preserve">persons under temporary </w:t>
      </w:r>
      <w:proofErr w:type="spellStart"/>
      <w:r w:rsidR="00933BEE" w:rsidRPr="00B63B1A">
        <w:rPr>
          <w:b/>
          <w:bCs/>
        </w:rPr>
        <w:t>protection</w:t>
      </w:r>
      <w:r w:rsidRPr="00B63B1A">
        <w:rPr>
          <w:b/>
          <w:bCs/>
        </w:rPr>
        <w:t>from</w:t>
      </w:r>
      <w:proofErr w:type="spellEnd"/>
      <w:r w:rsidRPr="00B63B1A">
        <w:rPr>
          <w:b/>
          <w:bCs/>
        </w:rPr>
        <w:t xml:space="preserve"> Ukraine have access to </w:t>
      </w:r>
      <w:r w:rsidR="00EB0BAB" w:rsidRPr="00B63B1A">
        <w:rPr>
          <w:b/>
          <w:bCs/>
        </w:rPr>
        <w:t>essential services and disability related supports</w:t>
      </w:r>
      <w:r w:rsidR="000E1004" w:rsidRPr="00B63B1A">
        <w:rPr>
          <w:b/>
          <w:bCs/>
        </w:rPr>
        <w:t xml:space="preserve">, including accessible communications, accessible housing, adequate livelihoods, assistive </w:t>
      </w:r>
      <w:proofErr w:type="gramStart"/>
      <w:r w:rsidR="000E1004" w:rsidRPr="00B63B1A">
        <w:rPr>
          <w:b/>
          <w:bCs/>
        </w:rPr>
        <w:t>devices</w:t>
      </w:r>
      <w:proofErr w:type="gramEnd"/>
      <w:r w:rsidR="000E1004" w:rsidRPr="00B63B1A">
        <w:rPr>
          <w:b/>
          <w:bCs/>
        </w:rPr>
        <w:t xml:space="preserve"> and support for entering the labour market</w:t>
      </w:r>
      <w:r w:rsidR="006456EF" w:rsidRPr="00B63B1A">
        <w:rPr>
          <w:b/>
          <w:bCs/>
        </w:rPr>
        <w:t>.</w:t>
      </w:r>
    </w:p>
    <w:p w14:paraId="4EFBCA5A" w14:textId="77777777" w:rsidR="006B5EE1" w:rsidRPr="00B63B1A" w:rsidRDefault="006B5EE1" w:rsidP="006B5EE1">
      <w:pPr>
        <w:pStyle w:val="H23G"/>
      </w:pPr>
      <w:r w:rsidRPr="00B63B1A">
        <w:tab/>
      </w:r>
      <w:r w:rsidRPr="00B63B1A">
        <w:tab/>
        <w:t>Equal recognition before the law (art. 12)</w:t>
      </w:r>
    </w:p>
    <w:p w14:paraId="2C8ECBF1" w14:textId="29FBE9F7" w:rsidR="006B5EE1" w:rsidRPr="00B63B1A" w:rsidRDefault="006B5EE1" w:rsidP="006B5EE1">
      <w:pPr>
        <w:pStyle w:val="SingleTxtG"/>
      </w:pPr>
      <w:r w:rsidRPr="00B63B1A">
        <w:t>2</w:t>
      </w:r>
      <w:r w:rsidR="00EC12F7" w:rsidRPr="00B63B1A">
        <w:t>7</w:t>
      </w:r>
      <w:r w:rsidRPr="00B63B1A">
        <w:t>.</w:t>
      </w:r>
      <w:r w:rsidRPr="00B63B1A">
        <w:tab/>
        <w:t xml:space="preserve">The Committee is concerned </w:t>
      </w:r>
      <w:r w:rsidR="00EB0BAB" w:rsidRPr="00B63B1A">
        <w:t>about</w:t>
      </w:r>
      <w:r w:rsidRPr="00B63B1A">
        <w:t>:</w:t>
      </w:r>
    </w:p>
    <w:p w14:paraId="75C23B80" w14:textId="538BC7FD" w:rsidR="00160BC8" w:rsidRPr="00B63B1A" w:rsidRDefault="00160BC8" w:rsidP="001B4958">
      <w:pPr>
        <w:pStyle w:val="SingleTxtG"/>
        <w:ind w:firstLine="567"/>
      </w:pPr>
      <w:r w:rsidRPr="00B63B1A">
        <w:tab/>
      </w:r>
      <w:r w:rsidR="006B5EE1" w:rsidRPr="00B63B1A">
        <w:t>(a)</w:t>
      </w:r>
      <w:r w:rsidR="006B5EE1" w:rsidRPr="00B63B1A">
        <w:tab/>
      </w:r>
      <w:r w:rsidR="00EB0BAB" w:rsidRPr="00B63B1A">
        <w:t>The l</w:t>
      </w:r>
      <w:r w:rsidRPr="00B63B1A">
        <w:t xml:space="preserve">ack of measures taken to replace substitute decision-making regimes with supported decision-making </w:t>
      </w:r>
      <w:proofErr w:type="gramStart"/>
      <w:r w:rsidRPr="00B63B1A">
        <w:t>mechanisms</w:t>
      </w:r>
      <w:r w:rsidR="00DF0644" w:rsidRPr="00B63B1A">
        <w:t>;</w:t>
      </w:r>
      <w:proofErr w:type="gramEnd"/>
      <w:r w:rsidR="00DF0644" w:rsidRPr="00B63B1A">
        <w:t xml:space="preserve"> </w:t>
      </w:r>
    </w:p>
    <w:p w14:paraId="191E3DC8" w14:textId="14C238ED" w:rsidR="00160BC8" w:rsidRPr="00B63B1A" w:rsidRDefault="00DF0644" w:rsidP="001B4958">
      <w:pPr>
        <w:pStyle w:val="SingleTxtG"/>
        <w:ind w:firstLine="567"/>
      </w:pPr>
      <w:r w:rsidRPr="00B63B1A">
        <w:lastRenderedPageBreak/>
        <w:tab/>
        <w:t>(b)</w:t>
      </w:r>
      <w:r w:rsidRPr="00B63B1A">
        <w:tab/>
      </w:r>
      <w:r w:rsidR="00EB0BAB" w:rsidRPr="00B63B1A">
        <w:t xml:space="preserve">The limited </w:t>
      </w:r>
      <w:r w:rsidR="00160BC8" w:rsidRPr="00B63B1A">
        <w:t>support measures for pe</w:t>
      </w:r>
      <w:r w:rsidRPr="00B63B1A">
        <w:t>rsons</w:t>
      </w:r>
      <w:r w:rsidR="00160BC8" w:rsidRPr="00B63B1A">
        <w:t xml:space="preserve"> with disabilities to exercise </w:t>
      </w:r>
      <w:r w:rsidR="004F54FA" w:rsidRPr="00B63B1A">
        <w:t xml:space="preserve">their </w:t>
      </w:r>
      <w:r w:rsidR="00160BC8" w:rsidRPr="00B63B1A">
        <w:t>legal capacity</w:t>
      </w:r>
      <w:r w:rsidR="004F54FA" w:rsidRPr="00B63B1A">
        <w:t xml:space="preserve"> on an equal basis with </w:t>
      </w:r>
      <w:proofErr w:type="gramStart"/>
      <w:r w:rsidR="004F54FA" w:rsidRPr="00B63B1A">
        <w:t>others;</w:t>
      </w:r>
      <w:proofErr w:type="gramEnd"/>
    </w:p>
    <w:p w14:paraId="4CA0D0C2" w14:textId="5E06CBE8" w:rsidR="00F61BA1" w:rsidRPr="00B63B1A" w:rsidRDefault="00F61BA1" w:rsidP="00BA45E0">
      <w:pPr>
        <w:pStyle w:val="SingleTxtG"/>
        <w:ind w:firstLine="567"/>
      </w:pPr>
      <w:r w:rsidRPr="00B63B1A">
        <w:t>(c)</w:t>
      </w:r>
      <w:r w:rsidR="00BA45E0" w:rsidRPr="00B63B1A">
        <w:tab/>
      </w:r>
      <w:r w:rsidRPr="00B63B1A">
        <w:t>The lack of national</w:t>
      </w:r>
      <w:r w:rsidR="00C57FC9" w:rsidRPr="00B63B1A">
        <w:t>ly</w:t>
      </w:r>
      <w:r w:rsidRPr="00B63B1A">
        <w:t xml:space="preserve"> </w:t>
      </w:r>
      <w:r w:rsidR="006108B2" w:rsidRPr="00B63B1A">
        <w:t xml:space="preserve">consistent application </w:t>
      </w:r>
      <w:r w:rsidRPr="00B63B1A">
        <w:t xml:space="preserve">and unequal access across municipalities to the support provided by the </w:t>
      </w:r>
      <w:r w:rsidR="00DA30AE" w:rsidRPr="00B63B1A">
        <w:t>‘</w:t>
      </w:r>
      <w:proofErr w:type="spellStart"/>
      <w:r w:rsidRPr="00B63B1A">
        <w:t>Personligt</w:t>
      </w:r>
      <w:proofErr w:type="spellEnd"/>
      <w:r w:rsidRPr="00B63B1A">
        <w:t xml:space="preserve"> Ombud</w:t>
      </w:r>
      <w:r w:rsidR="00DA30AE" w:rsidRPr="00B63B1A">
        <w:t>’</w:t>
      </w:r>
      <w:r w:rsidRPr="00B63B1A">
        <w:t xml:space="preserve"> </w:t>
      </w:r>
      <w:proofErr w:type="gramStart"/>
      <w:r w:rsidRPr="00B63B1A">
        <w:t>programme;</w:t>
      </w:r>
      <w:proofErr w:type="gramEnd"/>
    </w:p>
    <w:p w14:paraId="36EDE3EB" w14:textId="36609587" w:rsidR="00160BC8" w:rsidRPr="00B63B1A" w:rsidRDefault="004F54FA" w:rsidP="001B4958">
      <w:pPr>
        <w:pStyle w:val="SingleTxtG"/>
        <w:ind w:firstLine="567"/>
      </w:pPr>
      <w:r w:rsidRPr="00B63B1A">
        <w:tab/>
        <w:t>(</w:t>
      </w:r>
      <w:r w:rsidR="00F61BA1" w:rsidRPr="00B63B1A">
        <w:t>d</w:t>
      </w:r>
      <w:r w:rsidRPr="00B63B1A">
        <w:t>)</w:t>
      </w:r>
      <w:r w:rsidR="00160BC8" w:rsidRPr="00B63B1A">
        <w:tab/>
        <w:t xml:space="preserve">Insufficient training </w:t>
      </w:r>
      <w:r w:rsidR="00701E99" w:rsidRPr="00B63B1A">
        <w:t xml:space="preserve">on </w:t>
      </w:r>
      <w:r w:rsidRPr="00B63B1A">
        <w:t>s</w:t>
      </w:r>
      <w:r w:rsidR="00160BC8" w:rsidRPr="00B63B1A">
        <w:t xml:space="preserve">upported </w:t>
      </w:r>
      <w:r w:rsidRPr="00B63B1A">
        <w:t>d</w:t>
      </w:r>
      <w:r w:rsidR="00160BC8" w:rsidRPr="00B63B1A">
        <w:t>ecision-</w:t>
      </w:r>
      <w:r w:rsidRPr="00B63B1A">
        <w:t>m</w:t>
      </w:r>
      <w:r w:rsidR="00160BC8" w:rsidRPr="00B63B1A">
        <w:t>aking and its application, in particular within the judicial system.</w:t>
      </w:r>
    </w:p>
    <w:p w14:paraId="104202CC" w14:textId="02990390" w:rsidR="006B5EE1" w:rsidRPr="00B63B1A" w:rsidRDefault="006B5EE1" w:rsidP="006B5EE1">
      <w:pPr>
        <w:pStyle w:val="SingleTxtG"/>
        <w:rPr>
          <w:b/>
          <w:bCs/>
        </w:rPr>
      </w:pPr>
      <w:r w:rsidRPr="00B63B1A">
        <w:t>2</w:t>
      </w:r>
      <w:r w:rsidR="00EC12F7" w:rsidRPr="00B63B1A">
        <w:t>8</w:t>
      </w:r>
      <w:r w:rsidRPr="00B63B1A">
        <w:t>.</w:t>
      </w:r>
      <w:r w:rsidRPr="00B63B1A">
        <w:rPr>
          <w:b/>
          <w:bCs/>
        </w:rPr>
        <w:tab/>
        <w:t xml:space="preserve">Recalling its general comment No. 1 (2014), </w:t>
      </w:r>
      <w:r w:rsidR="00A56D16" w:rsidRPr="00B63B1A">
        <w:rPr>
          <w:b/>
          <w:bCs/>
        </w:rPr>
        <w:t xml:space="preserve">Equal recognition before the law, and in close consultation and active involvement of persons with disabilities through their representative organisations, </w:t>
      </w:r>
      <w:r w:rsidRPr="00B63B1A">
        <w:rPr>
          <w:b/>
          <w:bCs/>
        </w:rPr>
        <w:t xml:space="preserve">the Committee recommends that the State party: </w:t>
      </w:r>
    </w:p>
    <w:p w14:paraId="4F71FA1D" w14:textId="38C205D1" w:rsidR="006B5EE1" w:rsidRPr="00B63B1A" w:rsidRDefault="004F54FA" w:rsidP="001B4958">
      <w:pPr>
        <w:pStyle w:val="SingleTxtG"/>
        <w:ind w:firstLine="567"/>
        <w:rPr>
          <w:b/>
          <w:bCs/>
        </w:rPr>
      </w:pPr>
      <w:r w:rsidRPr="00B63B1A">
        <w:rPr>
          <w:b/>
          <w:bCs/>
        </w:rPr>
        <w:tab/>
      </w:r>
      <w:r w:rsidR="006B5EE1" w:rsidRPr="00B63B1A">
        <w:rPr>
          <w:b/>
          <w:bCs/>
        </w:rPr>
        <w:t>(a)</w:t>
      </w:r>
      <w:r w:rsidR="006B5EE1" w:rsidRPr="00B63B1A">
        <w:rPr>
          <w:b/>
          <w:bCs/>
        </w:rPr>
        <w:tab/>
        <w:t>Eliminate all forms of substitute decision-making and replace them with a system of supported decision-making</w:t>
      </w:r>
      <w:r w:rsidR="00E11DC6" w:rsidRPr="00B63B1A">
        <w:rPr>
          <w:b/>
          <w:bCs/>
        </w:rPr>
        <w:t xml:space="preserve"> that respects the will, preference and autonomy of persons with </w:t>
      </w:r>
      <w:proofErr w:type="gramStart"/>
      <w:r w:rsidR="00E11DC6" w:rsidRPr="00B63B1A">
        <w:rPr>
          <w:b/>
          <w:bCs/>
        </w:rPr>
        <w:t>disabilities</w:t>
      </w:r>
      <w:r w:rsidR="006B5EE1" w:rsidRPr="00B63B1A">
        <w:rPr>
          <w:b/>
          <w:bCs/>
        </w:rPr>
        <w:t>;</w:t>
      </w:r>
      <w:proofErr w:type="gramEnd"/>
      <w:r w:rsidR="006B5EE1" w:rsidRPr="00B63B1A">
        <w:rPr>
          <w:b/>
          <w:bCs/>
        </w:rPr>
        <w:t xml:space="preserve"> </w:t>
      </w:r>
    </w:p>
    <w:p w14:paraId="1509C79F" w14:textId="59FB5932" w:rsidR="004F54FA" w:rsidRPr="00B63B1A" w:rsidRDefault="004F54FA" w:rsidP="001B4958">
      <w:pPr>
        <w:pStyle w:val="SingleTxtG"/>
        <w:ind w:firstLine="567"/>
        <w:rPr>
          <w:b/>
          <w:bCs/>
        </w:rPr>
      </w:pPr>
      <w:r w:rsidRPr="00B63B1A">
        <w:rPr>
          <w:b/>
          <w:bCs/>
        </w:rPr>
        <w:tab/>
        <w:t>(b)</w:t>
      </w:r>
      <w:r w:rsidRPr="00B63B1A">
        <w:rPr>
          <w:b/>
          <w:bCs/>
        </w:rPr>
        <w:tab/>
        <w:t xml:space="preserve">Develop a national comprehensive strategy for the implementation of supported decision-making mechanisms </w:t>
      </w:r>
      <w:r w:rsidR="007544D5" w:rsidRPr="00B63B1A">
        <w:rPr>
          <w:b/>
          <w:bCs/>
        </w:rPr>
        <w:t xml:space="preserve">with </w:t>
      </w:r>
      <w:r w:rsidRPr="00B63B1A">
        <w:rPr>
          <w:b/>
          <w:bCs/>
        </w:rPr>
        <w:t>appropriate and proportionate safeguards</w:t>
      </w:r>
      <w:r w:rsidR="00A56D16" w:rsidRPr="00B63B1A">
        <w:rPr>
          <w:b/>
          <w:bCs/>
        </w:rPr>
        <w:t xml:space="preserve"> </w:t>
      </w:r>
      <w:r w:rsidRPr="00B63B1A">
        <w:rPr>
          <w:b/>
          <w:bCs/>
        </w:rPr>
        <w:t xml:space="preserve">across all levels of national, </w:t>
      </w:r>
      <w:r w:rsidR="00DD2C4E" w:rsidRPr="00B63B1A">
        <w:rPr>
          <w:b/>
          <w:bCs/>
        </w:rPr>
        <w:t>region</w:t>
      </w:r>
      <w:r w:rsidR="00A56D16" w:rsidRPr="00B63B1A">
        <w:rPr>
          <w:b/>
          <w:bCs/>
        </w:rPr>
        <w:t>al</w:t>
      </w:r>
      <w:r w:rsidRPr="00B63B1A">
        <w:rPr>
          <w:b/>
          <w:bCs/>
        </w:rPr>
        <w:t xml:space="preserve"> and municipal </w:t>
      </w:r>
      <w:proofErr w:type="gramStart"/>
      <w:r w:rsidRPr="00B63B1A">
        <w:rPr>
          <w:b/>
          <w:bCs/>
        </w:rPr>
        <w:t>governments;</w:t>
      </w:r>
      <w:proofErr w:type="gramEnd"/>
    </w:p>
    <w:p w14:paraId="57131A37" w14:textId="4FE313A0" w:rsidR="00F61BA1" w:rsidRPr="00B63B1A" w:rsidRDefault="00F61BA1" w:rsidP="00BA45E0">
      <w:pPr>
        <w:pStyle w:val="SingleTxtG"/>
        <w:ind w:firstLine="567"/>
        <w:rPr>
          <w:b/>
          <w:bCs/>
        </w:rPr>
      </w:pPr>
      <w:r w:rsidRPr="00B63B1A">
        <w:rPr>
          <w:b/>
          <w:bCs/>
        </w:rPr>
        <w:t>(c)</w:t>
      </w:r>
      <w:r w:rsidR="00BA45E0" w:rsidRPr="00B63B1A">
        <w:rPr>
          <w:b/>
          <w:bCs/>
        </w:rPr>
        <w:tab/>
      </w:r>
      <w:r w:rsidR="00DA30AE" w:rsidRPr="00B63B1A">
        <w:rPr>
          <w:b/>
          <w:bCs/>
        </w:rPr>
        <w:t>Review the ‘</w:t>
      </w:r>
      <w:proofErr w:type="spellStart"/>
      <w:r w:rsidR="00DA30AE" w:rsidRPr="00B63B1A">
        <w:rPr>
          <w:b/>
          <w:bCs/>
        </w:rPr>
        <w:t>Personligt</w:t>
      </w:r>
      <w:proofErr w:type="spellEnd"/>
      <w:r w:rsidR="00DA30AE" w:rsidRPr="00B63B1A">
        <w:rPr>
          <w:b/>
          <w:bCs/>
        </w:rPr>
        <w:t xml:space="preserve"> Ombud’ programme to consider its application to all persons with disabilities and to ensure national coordination and consistency across </w:t>
      </w:r>
      <w:proofErr w:type="gramStart"/>
      <w:r w:rsidR="00DA30AE" w:rsidRPr="00B63B1A">
        <w:rPr>
          <w:b/>
          <w:bCs/>
        </w:rPr>
        <w:t>municipalities;</w:t>
      </w:r>
      <w:proofErr w:type="gramEnd"/>
      <w:r w:rsidR="00DA30AE" w:rsidRPr="00B63B1A">
        <w:rPr>
          <w:b/>
          <w:bCs/>
        </w:rPr>
        <w:t xml:space="preserve"> </w:t>
      </w:r>
    </w:p>
    <w:p w14:paraId="6295189A" w14:textId="771BAA0C" w:rsidR="006B5EE1" w:rsidRPr="00B63B1A" w:rsidRDefault="004F54FA" w:rsidP="001B4958">
      <w:pPr>
        <w:pStyle w:val="SingleTxtG"/>
        <w:ind w:firstLine="567"/>
        <w:rPr>
          <w:b/>
          <w:bCs/>
        </w:rPr>
      </w:pPr>
      <w:r w:rsidRPr="00B63B1A">
        <w:rPr>
          <w:b/>
          <w:bCs/>
        </w:rPr>
        <w:tab/>
        <w:t>(</w:t>
      </w:r>
      <w:r w:rsidR="001B4958" w:rsidRPr="00B63B1A">
        <w:rPr>
          <w:b/>
          <w:bCs/>
        </w:rPr>
        <w:t>d</w:t>
      </w:r>
      <w:r w:rsidRPr="00B63B1A">
        <w:rPr>
          <w:b/>
          <w:bCs/>
        </w:rPr>
        <w:t>)</w:t>
      </w:r>
      <w:r w:rsidRPr="00B63B1A">
        <w:rPr>
          <w:b/>
          <w:bCs/>
        </w:rPr>
        <w:tab/>
      </w:r>
      <w:r w:rsidR="00A56D16" w:rsidRPr="00B63B1A">
        <w:rPr>
          <w:b/>
          <w:bCs/>
        </w:rPr>
        <w:t>D</w:t>
      </w:r>
      <w:r w:rsidRPr="00B63B1A">
        <w:rPr>
          <w:b/>
          <w:bCs/>
        </w:rPr>
        <w:t>evelop and provide training programmes on supported decision-making</w:t>
      </w:r>
      <w:r w:rsidR="007544D5" w:rsidRPr="00B63B1A">
        <w:rPr>
          <w:b/>
          <w:bCs/>
        </w:rPr>
        <w:t xml:space="preserve"> across </w:t>
      </w:r>
      <w:r w:rsidRPr="00B63B1A">
        <w:rPr>
          <w:b/>
          <w:bCs/>
        </w:rPr>
        <w:t>government agencies</w:t>
      </w:r>
      <w:r w:rsidR="007544D5" w:rsidRPr="00B63B1A">
        <w:rPr>
          <w:b/>
          <w:bCs/>
        </w:rPr>
        <w:t xml:space="preserve"> and other relevant sectors</w:t>
      </w:r>
      <w:r w:rsidRPr="00B63B1A">
        <w:rPr>
          <w:b/>
          <w:bCs/>
        </w:rPr>
        <w:t xml:space="preserve">, </w:t>
      </w:r>
      <w:r w:rsidR="007544D5" w:rsidRPr="00B63B1A">
        <w:rPr>
          <w:b/>
          <w:bCs/>
        </w:rPr>
        <w:t>including justice, health, banking and finance and social services.</w:t>
      </w:r>
    </w:p>
    <w:p w14:paraId="0CDDC5A2" w14:textId="77777777" w:rsidR="006B5EE1" w:rsidRPr="00B63B1A" w:rsidRDefault="006B5EE1" w:rsidP="006B5EE1">
      <w:pPr>
        <w:pStyle w:val="H23G"/>
      </w:pPr>
      <w:r w:rsidRPr="00B63B1A">
        <w:tab/>
      </w:r>
      <w:r w:rsidRPr="00B63B1A">
        <w:tab/>
        <w:t>Access to justice (art. 13)</w:t>
      </w:r>
    </w:p>
    <w:p w14:paraId="32F38ABB" w14:textId="6A9AB0BB" w:rsidR="006B5EE1" w:rsidRPr="00B63B1A" w:rsidRDefault="006B5EE1" w:rsidP="006B5EE1">
      <w:pPr>
        <w:pStyle w:val="SingleTxtG"/>
      </w:pPr>
      <w:r w:rsidRPr="00B63B1A">
        <w:t>2</w:t>
      </w:r>
      <w:r w:rsidR="00EC12F7" w:rsidRPr="00B63B1A">
        <w:t>9</w:t>
      </w:r>
      <w:r w:rsidRPr="00B63B1A">
        <w:t>.</w:t>
      </w:r>
      <w:r w:rsidRPr="00B63B1A">
        <w:tab/>
        <w:t xml:space="preserve">The Committee is concerned about barriers to access to justice for persons with disabilities, including: </w:t>
      </w:r>
    </w:p>
    <w:p w14:paraId="623F7AF8" w14:textId="34BCA83F" w:rsidR="001F74DB" w:rsidRPr="00B63B1A" w:rsidRDefault="001F74DB" w:rsidP="001B4958">
      <w:pPr>
        <w:pStyle w:val="SingleTxtG"/>
        <w:ind w:firstLine="567"/>
      </w:pPr>
      <w:r w:rsidRPr="00B63B1A">
        <w:tab/>
      </w:r>
      <w:r w:rsidR="006B5EE1" w:rsidRPr="00B63B1A">
        <w:t>(a)</w:t>
      </w:r>
      <w:r w:rsidR="006B5EE1" w:rsidRPr="00B63B1A">
        <w:tab/>
      </w:r>
      <w:r w:rsidR="0035729C" w:rsidRPr="00B63B1A">
        <w:t xml:space="preserve">Limited procedural and </w:t>
      </w:r>
      <w:r w:rsidRPr="00B63B1A">
        <w:t>age-appropriate accommodations</w:t>
      </w:r>
      <w:r w:rsidR="0035729C" w:rsidRPr="00B63B1A">
        <w:t>, in particular for neurodive</w:t>
      </w:r>
      <w:r w:rsidR="00371603" w:rsidRPr="00B63B1A">
        <w:t>rgent</w:t>
      </w:r>
      <w:r w:rsidR="0035729C" w:rsidRPr="00B63B1A">
        <w:t xml:space="preserve"> </w:t>
      </w:r>
      <w:proofErr w:type="gramStart"/>
      <w:r w:rsidR="0035729C" w:rsidRPr="00B63B1A">
        <w:t>persons</w:t>
      </w:r>
      <w:r w:rsidRPr="00B63B1A">
        <w:t>;</w:t>
      </w:r>
      <w:proofErr w:type="gramEnd"/>
    </w:p>
    <w:p w14:paraId="385D5DE0" w14:textId="0805EEBE" w:rsidR="001F74DB" w:rsidRPr="00B63B1A" w:rsidRDefault="001F74DB" w:rsidP="001F74DB">
      <w:pPr>
        <w:pStyle w:val="SingleTxtG"/>
        <w:ind w:firstLine="567"/>
      </w:pPr>
      <w:r w:rsidRPr="00B63B1A">
        <w:t>(b)</w:t>
      </w:r>
      <w:r w:rsidRPr="00B63B1A">
        <w:tab/>
      </w:r>
      <w:r w:rsidR="000E06BA" w:rsidRPr="00B63B1A">
        <w:t>Limited</w:t>
      </w:r>
      <w:r w:rsidRPr="00B63B1A">
        <w:t xml:space="preserve"> knowledge</w:t>
      </w:r>
      <w:r w:rsidR="000E06BA" w:rsidRPr="00B63B1A">
        <w:t xml:space="preserve">, </w:t>
      </w:r>
      <w:r w:rsidRPr="00B63B1A">
        <w:t xml:space="preserve">training </w:t>
      </w:r>
      <w:r w:rsidR="000E06BA" w:rsidRPr="00B63B1A">
        <w:t xml:space="preserve">and competence </w:t>
      </w:r>
      <w:r w:rsidRPr="00B63B1A">
        <w:t xml:space="preserve">within the justice system regarding the rights of persons with disabilities, </w:t>
      </w:r>
      <w:r w:rsidR="000E06BA" w:rsidRPr="00B63B1A">
        <w:t>including</w:t>
      </w:r>
      <w:r w:rsidRPr="00B63B1A">
        <w:t xml:space="preserve"> disability-specific interviewing techniques for children and adults with </w:t>
      </w:r>
      <w:proofErr w:type="gramStart"/>
      <w:r w:rsidRPr="00B63B1A">
        <w:t>disabilities</w:t>
      </w:r>
      <w:r w:rsidR="00E06A84" w:rsidRPr="00B63B1A">
        <w:t>;</w:t>
      </w:r>
      <w:proofErr w:type="gramEnd"/>
    </w:p>
    <w:p w14:paraId="40D057FF" w14:textId="2060E531" w:rsidR="001F74DB" w:rsidRPr="00B63B1A" w:rsidRDefault="00E06A84" w:rsidP="00E06A84">
      <w:pPr>
        <w:pStyle w:val="SingleTxtG"/>
        <w:ind w:firstLine="567"/>
      </w:pPr>
      <w:r w:rsidRPr="00B63B1A">
        <w:t>(c)</w:t>
      </w:r>
      <w:r w:rsidRPr="00B63B1A">
        <w:tab/>
      </w:r>
      <w:r w:rsidR="001C41DE" w:rsidRPr="00B63B1A">
        <w:t>L</w:t>
      </w:r>
      <w:r w:rsidR="000E06BA" w:rsidRPr="00B63B1A">
        <w:t xml:space="preserve">imited access to the legal aid </w:t>
      </w:r>
      <w:r w:rsidR="001C41DE" w:rsidRPr="00B63B1A">
        <w:t xml:space="preserve">system and financial barriers to obtaining legal representation. </w:t>
      </w:r>
    </w:p>
    <w:p w14:paraId="75B11F52" w14:textId="66C56943" w:rsidR="006B5EE1" w:rsidRPr="00B63B1A" w:rsidRDefault="00EC12F7" w:rsidP="001C41DE">
      <w:pPr>
        <w:pStyle w:val="SingleTxtG"/>
        <w:rPr>
          <w:b/>
          <w:bCs/>
        </w:rPr>
      </w:pPr>
      <w:r w:rsidRPr="00B63B1A">
        <w:t>30</w:t>
      </w:r>
      <w:r w:rsidR="006B5EE1" w:rsidRPr="00B63B1A">
        <w:t>.</w:t>
      </w:r>
      <w:r w:rsidR="006B5EE1" w:rsidRPr="00B63B1A">
        <w:rPr>
          <w:b/>
          <w:bCs/>
        </w:rPr>
        <w:tab/>
      </w:r>
      <w:r w:rsidR="001C41DE" w:rsidRPr="00B63B1A">
        <w:rPr>
          <w:b/>
          <w:bCs/>
        </w:rPr>
        <w:t>Recalling the International Principles and Guidelines on Access to Justice for Persons with Disabilities, t</w:t>
      </w:r>
      <w:r w:rsidR="006B5EE1" w:rsidRPr="00B63B1A">
        <w:rPr>
          <w:b/>
          <w:bCs/>
        </w:rPr>
        <w:t>he Committee recommends that the State party, in close consultation and active involvement of organizations of persons with disabilities</w:t>
      </w:r>
      <w:r w:rsidR="001C41DE" w:rsidRPr="00B63B1A">
        <w:rPr>
          <w:b/>
          <w:bCs/>
        </w:rPr>
        <w:t xml:space="preserve"> </w:t>
      </w:r>
      <w:r w:rsidR="006B5EE1" w:rsidRPr="00B63B1A">
        <w:rPr>
          <w:b/>
          <w:bCs/>
        </w:rPr>
        <w:t>develop a national disability justice strategy</w:t>
      </w:r>
      <w:r w:rsidR="001C41DE" w:rsidRPr="00B63B1A">
        <w:rPr>
          <w:b/>
          <w:bCs/>
        </w:rPr>
        <w:t xml:space="preserve"> that includes</w:t>
      </w:r>
      <w:r w:rsidR="006B5EE1" w:rsidRPr="00B63B1A">
        <w:rPr>
          <w:b/>
          <w:bCs/>
        </w:rPr>
        <w:t>:</w:t>
      </w:r>
    </w:p>
    <w:p w14:paraId="03DE5577" w14:textId="0F78BDDD" w:rsidR="00E06A84" w:rsidRPr="00B63B1A" w:rsidRDefault="00E06A84" w:rsidP="001B4958">
      <w:pPr>
        <w:pStyle w:val="SingleTxtG"/>
        <w:ind w:firstLine="567"/>
        <w:rPr>
          <w:b/>
          <w:bCs/>
        </w:rPr>
      </w:pPr>
      <w:r w:rsidRPr="00B63B1A">
        <w:rPr>
          <w:b/>
          <w:bCs/>
        </w:rPr>
        <w:tab/>
      </w:r>
      <w:r w:rsidR="006B5EE1" w:rsidRPr="00B63B1A">
        <w:rPr>
          <w:b/>
          <w:bCs/>
        </w:rPr>
        <w:t>(a)</w:t>
      </w:r>
      <w:r w:rsidR="006B5EE1" w:rsidRPr="00B63B1A">
        <w:rPr>
          <w:b/>
          <w:bCs/>
        </w:rPr>
        <w:tab/>
      </w:r>
      <w:r w:rsidR="003A3804" w:rsidRPr="00B63B1A">
        <w:rPr>
          <w:b/>
          <w:bCs/>
        </w:rPr>
        <w:t xml:space="preserve">Measures to amend </w:t>
      </w:r>
      <w:r w:rsidRPr="00B63B1A">
        <w:rPr>
          <w:b/>
          <w:bCs/>
        </w:rPr>
        <w:t xml:space="preserve">procedural rules in criminal, civil, labour and administrative law that </w:t>
      </w:r>
      <w:r w:rsidR="003A3804" w:rsidRPr="00B63B1A">
        <w:rPr>
          <w:b/>
          <w:bCs/>
        </w:rPr>
        <w:t xml:space="preserve">ensure </w:t>
      </w:r>
      <w:r w:rsidRPr="00B63B1A">
        <w:rPr>
          <w:b/>
          <w:bCs/>
        </w:rPr>
        <w:t xml:space="preserve">procedural and age-appropriate accommodations </w:t>
      </w:r>
      <w:r w:rsidR="003A3804" w:rsidRPr="00B63B1A">
        <w:rPr>
          <w:b/>
          <w:bCs/>
        </w:rPr>
        <w:t>for</w:t>
      </w:r>
      <w:r w:rsidRPr="00B63B1A">
        <w:rPr>
          <w:b/>
          <w:bCs/>
        </w:rPr>
        <w:t xml:space="preserve"> persons with disabilities on a no-cost </w:t>
      </w:r>
      <w:proofErr w:type="gramStart"/>
      <w:r w:rsidRPr="00B63B1A">
        <w:rPr>
          <w:b/>
          <w:bCs/>
        </w:rPr>
        <w:t>basis;</w:t>
      </w:r>
      <w:proofErr w:type="gramEnd"/>
      <w:r w:rsidRPr="00B63B1A">
        <w:rPr>
          <w:b/>
          <w:bCs/>
        </w:rPr>
        <w:t xml:space="preserve"> </w:t>
      </w:r>
    </w:p>
    <w:p w14:paraId="03815DB9" w14:textId="6C57EEE9" w:rsidR="00E06A84" w:rsidRPr="00B63B1A" w:rsidRDefault="00E06A84" w:rsidP="001B4958">
      <w:pPr>
        <w:pStyle w:val="SingleTxtG"/>
        <w:ind w:firstLine="567"/>
        <w:rPr>
          <w:b/>
          <w:bCs/>
        </w:rPr>
      </w:pPr>
      <w:r w:rsidRPr="00B63B1A">
        <w:rPr>
          <w:b/>
          <w:bCs/>
        </w:rPr>
        <w:tab/>
        <w:t>(b)</w:t>
      </w:r>
      <w:r w:rsidRPr="00B63B1A">
        <w:rPr>
          <w:b/>
          <w:bCs/>
        </w:rPr>
        <w:tab/>
      </w:r>
      <w:r w:rsidR="003A3804" w:rsidRPr="00B63B1A">
        <w:rPr>
          <w:b/>
          <w:bCs/>
        </w:rPr>
        <w:t>A</w:t>
      </w:r>
      <w:r w:rsidRPr="00B63B1A">
        <w:rPr>
          <w:b/>
          <w:bCs/>
        </w:rPr>
        <w:t>ppropriate training for those in the justice</w:t>
      </w:r>
      <w:r w:rsidR="003A3804" w:rsidRPr="00B63B1A">
        <w:rPr>
          <w:b/>
          <w:bCs/>
        </w:rPr>
        <w:t xml:space="preserve"> system</w:t>
      </w:r>
      <w:r w:rsidRPr="00B63B1A">
        <w:rPr>
          <w:b/>
          <w:bCs/>
        </w:rPr>
        <w:t>, including members of the judiciary, police officers</w:t>
      </w:r>
      <w:r w:rsidR="00E11DC6" w:rsidRPr="00B63B1A">
        <w:rPr>
          <w:b/>
          <w:bCs/>
        </w:rPr>
        <w:t>, prosecutors</w:t>
      </w:r>
      <w:r w:rsidRPr="00B63B1A">
        <w:rPr>
          <w:b/>
          <w:bCs/>
        </w:rPr>
        <w:t xml:space="preserve"> and prison personnel, on </w:t>
      </w:r>
      <w:r w:rsidR="003A3804" w:rsidRPr="00B63B1A">
        <w:rPr>
          <w:b/>
          <w:bCs/>
        </w:rPr>
        <w:t xml:space="preserve">the application of </w:t>
      </w:r>
      <w:r w:rsidRPr="00B63B1A">
        <w:rPr>
          <w:b/>
          <w:bCs/>
        </w:rPr>
        <w:t xml:space="preserve">Convention standards and principles to ensure access to </w:t>
      </w:r>
      <w:proofErr w:type="gramStart"/>
      <w:r w:rsidRPr="00B63B1A">
        <w:rPr>
          <w:b/>
          <w:bCs/>
        </w:rPr>
        <w:t>justice;</w:t>
      </w:r>
      <w:proofErr w:type="gramEnd"/>
    </w:p>
    <w:p w14:paraId="6386C6E6" w14:textId="0A6E2C51" w:rsidR="00E06A84" w:rsidRPr="00B63B1A" w:rsidRDefault="00E06A84" w:rsidP="00E06A84">
      <w:pPr>
        <w:pStyle w:val="SingleTxtG"/>
        <w:ind w:firstLine="567"/>
        <w:rPr>
          <w:b/>
          <w:bCs/>
        </w:rPr>
      </w:pPr>
      <w:r w:rsidRPr="00B63B1A">
        <w:rPr>
          <w:b/>
          <w:bCs/>
        </w:rPr>
        <w:t>(c)</w:t>
      </w:r>
      <w:r w:rsidRPr="00B63B1A">
        <w:rPr>
          <w:b/>
          <w:bCs/>
        </w:rPr>
        <w:tab/>
        <w:t xml:space="preserve">Review the Legal Aid Act to remove financial barriers to legal representation, </w:t>
      </w:r>
      <w:r w:rsidR="003A3804" w:rsidRPr="00B63B1A">
        <w:rPr>
          <w:b/>
          <w:bCs/>
        </w:rPr>
        <w:t xml:space="preserve">in particular for </w:t>
      </w:r>
      <w:r w:rsidRPr="00B63B1A">
        <w:rPr>
          <w:b/>
          <w:bCs/>
        </w:rPr>
        <w:t xml:space="preserve">administrative and discrimination </w:t>
      </w:r>
      <w:r w:rsidR="003A3804" w:rsidRPr="00B63B1A">
        <w:rPr>
          <w:b/>
          <w:bCs/>
        </w:rPr>
        <w:t xml:space="preserve">law </w:t>
      </w:r>
      <w:r w:rsidRPr="00B63B1A">
        <w:rPr>
          <w:b/>
          <w:bCs/>
        </w:rPr>
        <w:t>cases.</w:t>
      </w:r>
    </w:p>
    <w:p w14:paraId="2C9DE9A7" w14:textId="77777777" w:rsidR="006B5EE1" w:rsidRPr="00B63B1A" w:rsidRDefault="006B5EE1" w:rsidP="006B5EE1">
      <w:pPr>
        <w:pStyle w:val="H23G"/>
      </w:pPr>
      <w:r w:rsidRPr="00B63B1A">
        <w:tab/>
      </w:r>
      <w:r w:rsidRPr="00B63B1A">
        <w:tab/>
        <w:t>Liberty and security of person (art. 14)</w:t>
      </w:r>
    </w:p>
    <w:p w14:paraId="411984E8" w14:textId="25B7C2CF" w:rsidR="006B5EE1" w:rsidRPr="00B63B1A" w:rsidRDefault="00EC12F7" w:rsidP="006B5EE1">
      <w:pPr>
        <w:pStyle w:val="SingleTxtG"/>
      </w:pPr>
      <w:r w:rsidRPr="00B63B1A">
        <w:t>31</w:t>
      </w:r>
      <w:r w:rsidR="006B5EE1" w:rsidRPr="00B63B1A">
        <w:t>.</w:t>
      </w:r>
      <w:r w:rsidR="006B5EE1" w:rsidRPr="00B63B1A">
        <w:tab/>
        <w:t>The Committee is concerned</w:t>
      </w:r>
      <w:r w:rsidR="00452EEF" w:rsidRPr="00B63B1A">
        <w:t xml:space="preserve"> that</w:t>
      </w:r>
      <w:r w:rsidR="006B5EE1" w:rsidRPr="00B63B1A">
        <w:t>:</w:t>
      </w:r>
    </w:p>
    <w:p w14:paraId="5D5FD5DE" w14:textId="40EBE4B5" w:rsidR="003233D5" w:rsidRPr="00B63B1A" w:rsidRDefault="003233D5" w:rsidP="001B4958">
      <w:pPr>
        <w:pStyle w:val="SingleTxtG"/>
        <w:ind w:firstLine="567"/>
      </w:pPr>
      <w:r w:rsidRPr="00B63B1A">
        <w:tab/>
      </w:r>
      <w:r w:rsidR="006B5EE1" w:rsidRPr="00B63B1A">
        <w:t>(a)</w:t>
      </w:r>
      <w:r w:rsidR="006B5EE1" w:rsidRPr="00B63B1A">
        <w:tab/>
      </w:r>
      <w:r w:rsidR="00452EEF" w:rsidRPr="00B63B1A">
        <w:t xml:space="preserve">Persons with disabilities can be </w:t>
      </w:r>
      <w:r w:rsidRPr="00B63B1A">
        <w:t>depriv</w:t>
      </w:r>
      <w:r w:rsidR="00452EEF" w:rsidRPr="00B63B1A">
        <w:t xml:space="preserve">ed </w:t>
      </w:r>
      <w:r w:rsidRPr="00B63B1A">
        <w:t xml:space="preserve">of </w:t>
      </w:r>
      <w:r w:rsidR="00452EEF" w:rsidRPr="00B63B1A">
        <w:t xml:space="preserve">their </w:t>
      </w:r>
      <w:r w:rsidRPr="00B63B1A">
        <w:t xml:space="preserve">liberty on </w:t>
      </w:r>
      <w:r w:rsidR="00452EEF" w:rsidRPr="00B63B1A">
        <w:t xml:space="preserve">the </w:t>
      </w:r>
      <w:r w:rsidRPr="00B63B1A">
        <w:t>basis of impairment</w:t>
      </w:r>
      <w:r w:rsidR="00452EEF" w:rsidRPr="00B63B1A">
        <w:t xml:space="preserve">, and </w:t>
      </w:r>
      <w:proofErr w:type="gramStart"/>
      <w:r w:rsidR="00452EEF" w:rsidRPr="00B63B1A">
        <w:t xml:space="preserve">that </w:t>
      </w:r>
      <w:r w:rsidRPr="00B63B1A">
        <w:t xml:space="preserve"> and</w:t>
      </w:r>
      <w:proofErr w:type="gramEnd"/>
      <w:r w:rsidRPr="00B63B1A">
        <w:t xml:space="preserve"> </w:t>
      </w:r>
      <w:r w:rsidR="00452EEF" w:rsidRPr="00B63B1A">
        <w:t xml:space="preserve">the barriers to discharge from </w:t>
      </w:r>
      <w:r w:rsidR="00256AB9" w:rsidRPr="00B63B1A">
        <w:t>psychiatric institutions</w:t>
      </w:r>
      <w:r w:rsidR="00452EEF" w:rsidRPr="00B63B1A">
        <w:t xml:space="preserve"> is prolonged due to limited community housing options;</w:t>
      </w:r>
    </w:p>
    <w:p w14:paraId="16DB01A1" w14:textId="242B6CD8" w:rsidR="00AA4792" w:rsidRPr="00B63B1A" w:rsidRDefault="003233D5" w:rsidP="00AA4792">
      <w:pPr>
        <w:pStyle w:val="SingleTxtG"/>
        <w:ind w:firstLine="567"/>
      </w:pPr>
      <w:r w:rsidRPr="00B63B1A">
        <w:lastRenderedPageBreak/>
        <w:t>(</w:t>
      </w:r>
      <w:r w:rsidR="00303710" w:rsidRPr="00B63B1A">
        <w:t>b</w:t>
      </w:r>
      <w:r w:rsidRPr="00B63B1A">
        <w:t>)</w:t>
      </w:r>
      <w:r w:rsidR="001B4958" w:rsidRPr="00B63B1A">
        <w:tab/>
      </w:r>
      <w:r w:rsidR="00256AB9" w:rsidRPr="00B63B1A">
        <w:t xml:space="preserve">The </w:t>
      </w:r>
      <w:r w:rsidR="00C57FC9" w:rsidRPr="00B63B1A">
        <w:t xml:space="preserve">indeterminate </w:t>
      </w:r>
      <w:r w:rsidRPr="00B63B1A">
        <w:t>detention of persons with disabilities who are deemed ‘unfit’ to stand trial</w:t>
      </w:r>
      <w:r w:rsidR="00AA4792" w:rsidRPr="00B63B1A">
        <w:t>.</w:t>
      </w:r>
    </w:p>
    <w:p w14:paraId="13BDE585" w14:textId="344F3110" w:rsidR="006B5EE1" w:rsidRPr="00B63B1A" w:rsidRDefault="006B5EE1" w:rsidP="006B5EE1">
      <w:pPr>
        <w:pStyle w:val="SingleTxtG"/>
        <w:rPr>
          <w:b/>
          <w:bCs/>
        </w:rPr>
      </w:pPr>
      <w:r w:rsidRPr="00B63B1A">
        <w:t>3</w:t>
      </w:r>
      <w:r w:rsidR="00EC12F7" w:rsidRPr="00B63B1A">
        <w:t>2</w:t>
      </w:r>
      <w:r w:rsidRPr="00B63B1A">
        <w:t>.</w:t>
      </w:r>
      <w:r w:rsidRPr="00B63B1A">
        <w:rPr>
          <w:b/>
          <w:bCs/>
        </w:rPr>
        <w:tab/>
        <w:t>Recalling its guidelines on the right to liberty and security of persons with disabilities</w:t>
      </w:r>
      <w:r w:rsidRPr="00B63B1A">
        <w:rPr>
          <w:rStyle w:val="Fotnotsreferens"/>
        </w:rPr>
        <w:footnoteReference w:id="7"/>
      </w:r>
      <w:r w:rsidRPr="00B63B1A">
        <w:rPr>
          <w:b/>
          <w:bCs/>
        </w:rPr>
        <w:t xml:space="preserve"> and its guidelines on deinstitutionalization, including in emergencies,</w:t>
      </w:r>
      <w:r w:rsidRPr="00B63B1A">
        <w:rPr>
          <w:rStyle w:val="Fotnotsreferens"/>
        </w:rPr>
        <w:footnoteReference w:id="8"/>
      </w:r>
      <w:r w:rsidRPr="00B63B1A">
        <w:rPr>
          <w:b/>
          <w:bCs/>
        </w:rPr>
        <w:t xml:space="preserve"> the Committee recommends that the State party take all necessary legislative, administrative</w:t>
      </w:r>
      <w:r w:rsidR="00256AB9" w:rsidRPr="00B63B1A">
        <w:rPr>
          <w:b/>
          <w:bCs/>
        </w:rPr>
        <w:t>, policy</w:t>
      </w:r>
      <w:r w:rsidRPr="00B63B1A">
        <w:rPr>
          <w:b/>
          <w:bCs/>
        </w:rPr>
        <w:t xml:space="preserve"> and judicial measures</w:t>
      </w:r>
      <w:r w:rsidR="00256AB9" w:rsidRPr="00B63B1A">
        <w:rPr>
          <w:b/>
          <w:bCs/>
        </w:rPr>
        <w:t xml:space="preserve"> to</w:t>
      </w:r>
      <w:r w:rsidRPr="00B63B1A">
        <w:rPr>
          <w:b/>
          <w:bCs/>
        </w:rPr>
        <w:t>:</w:t>
      </w:r>
    </w:p>
    <w:p w14:paraId="70B38BEB" w14:textId="7EDD8811" w:rsidR="003233D5" w:rsidRPr="00B63B1A" w:rsidRDefault="006B5EE1" w:rsidP="001B4958">
      <w:pPr>
        <w:pStyle w:val="SingleTxtG"/>
        <w:ind w:firstLine="567"/>
        <w:rPr>
          <w:b/>
          <w:bCs/>
        </w:rPr>
      </w:pPr>
      <w:r w:rsidRPr="00B63B1A">
        <w:rPr>
          <w:b/>
          <w:bCs/>
        </w:rPr>
        <w:tab/>
        <w:t>(a)</w:t>
      </w:r>
      <w:r w:rsidRPr="00B63B1A">
        <w:rPr>
          <w:b/>
          <w:bCs/>
        </w:rPr>
        <w:tab/>
      </w:r>
      <w:r w:rsidR="003233D5" w:rsidRPr="00B63B1A">
        <w:rPr>
          <w:b/>
          <w:bCs/>
        </w:rPr>
        <w:t xml:space="preserve">Repeal all laws </w:t>
      </w:r>
      <w:r w:rsidR="00E11DC6" w:rsidRPr="00B63B1A">
        <w:rPr>
          <w:b/>
          <w:bCs/>
        </w:rPr>
        <w:t xml:space="preserve">and abolish practices </w:t>
      </w:r>
      <w:r w:rsidR="003233D5" w:rsidRPr="00B63B1A">
        <w:rPr>
          <w:b/>
          <w:bCs/>
        </w:rPr>
        <w:t xml:space="preserve">that allow for the deprivation of </w:t>
      </w:r>
      <w:r w:rsidR="003233D5" w:rsidRPr="00B63B1A">
        <w:t>liberty</w:t>
      </w:r>
      <w:r w:rsidR="003233D5" w:rsidRPr="00B63B1A">
        <w:rPr>
          <w:b/>
          <w:bCs/>
        </w:rPr>
        <w:t xml:space="preserve"> on the basis of impairment, including mental health laws, and </w:t>
      </w:r>
      <w:r w:rsidR="00256AB9" w:rsidRPr="00B63B1A">
        <w:rPr>
          <w:b/>
          <w:bCs/>
        </w:rPr>
        <w:t xml:space="preserve">ensure access to appropriate, accessible </w:t>
      </w:r>
      <w:r w:rsidR="003233D5" w:rsidRPr="00B63B1A">
        <w:rPr>
          <w:b/>
          <w:bCs/>
        </w:rPr>
        <w:t>community housing</w:t>
      </w:r>
      <w:r w:rsidR="00256AB9" w:rsidRPr="00B63B1A">
        <w:rPr>
          <w:b/>
          <w:bCs/>
        </w:rPr>
        <w:t xml:space="preserve"> and </w:t>
      </w:r>
      <w:proofErr w:type="gramStart"/>
      <w:r w:rsidR="00256AB9" w:rsidRPr="00B63B1A">
        <w:rPr>
          <w:b/>
          <w:bCs/>
        </w:rPr>
        <w:t>supports</w:t>
      </w:r>
      <w:r w:rsidR="003233D5" w:rsidRPr="00B63B1A">
        <w:rPr>
          <w:b/>
          <w:bCs/>
        </w:rPr>
        <w:t>;</w:t>
      </w:r>
      <w:proofErr w:type="gramEnd"/>
    </w:p>
    <w:p w14:paraId="3E0EC481" w14:textId="6370C1E3" w:rsidR="00AA4792" w:rsidRPr="00B63B1A" w:rsidRDefault="003233D5" w:rsidP="003233D5">
      <w:pPr>
        <w:pStyle w:val="SingleTxtG"/>
        <w:ind w:firstLine="567"/>
        <w:rPr>
          <w:b/>
          <w:bCs/>
        </w:rPr>
      </w:pPr>
      <w:r w:rsidRPr="00B63B1A">
        <w:rPr>
          <w:b/>
          <w:bCs/>
        </w:rPr>
        <w:t>(</w:t>
      </w:r>
      <w:r w:rsidR="00303710" w:rsidRPr="00B63B1A">
        <w:rPr>
          <w:b/>
          <w:bCs/>
        </w:rPr>
        <w:t>b</w:t>
      </w:r>
      <w:r w:rsidRPr="00B63B1A">
        <w:rPr>
          <w:b/>
          <w:bCs/>
        </w:rPr>
        <w:t>)</w:t>
      </w:r>
      <w:r w:rsidRPr="00B63B1A">
        <w:rPr>
          <w:b/>
          <w:bCs/>
        </w:rPr>
        <w:tab/>
        <w:t xml:space="preserve">Amend and/or repeal legislation that restricts the legal capacity of persons with disabilities, allowing for harsher measures against persons with disabilities than defendants convicted of the same crimes, such as </w:t>
      </w:r>
      <w:r w:rsidR="00C57FC9" w:rsidRPr="00B63B1A">
        <w:rPr>
          <w:b/>
          <w:bCs/>
        </w:rPr>
        <w:t xml:space="preserve">indeterminate </w:t>
      </w:r>
      <w:r w:rsidRPr="00B63B1A">
        <w:rPr>
          <w:b/>
          <w:bCs/>
        </w:rPr>
        <w:t>detention, and guarantee their access to justice on an equal basis with others throughout judicial proceedings</w:t>
      </w:r>
      <w:r w:rsidR="00303710" w:rsidRPr="00B63B1A">
        <w:rPr>
          <w:b/>
          <w:bCs/>
        </w:rPr>
        <w:t>.</w:t>
      </w:r>
    </w:p>
    <w:p w14:paraId="29951095" w14:textId="77777777" w:rsidR="006B5EE1" w:rsidRPr="00B63B1A" w:rsidRDefault="006B5EE1" w:rsidP="006B5EE1">
      <w:pPr>
        <w:pStyle w:val="H23G"/>
      </w:pPr>
      <w:r w:rsidRPr="00B63B1A">
        <w:tab/>
      </w:r>
      <w:r w:rsidRPr="00B63B1A">
        <w:tab/>
        <w:t xml:space="preserve">Freedom from torture or cruel, </w:t>
      </w:r>
      <w:proofErr w:type="gramStart"/>
      <w:r w:rsidRPr="00B63B1A">
        <w:t>inhuman</w:t>
      </w:r>
      <w:proofErr w:type="gramEnd"/>
      <w:r w:rsidRPr="00B63B1A">
        <w:t xml:space="preserve"> or degrading treatment or punishment (art. 15)</w:t>
      </w:r>
    </w:p>
    <w:p w14:paraId="56A9F1C1" w14:textId="77777777" w:rsidR="006B5EE1" w:rsidRPr="00B63B1A" w:rsidRDefault="006B5EE1" w:rsidP="006B5EE1">
      <w:pPr>
        <w:pStyle w:val="SingleTxtG"/>
      </w:pPr>
      <w:r w:rsidRPr="00B63B1A">
        <w:t>33.</w:t>
      </w:r>
      <w:r w:rsidRPr="00B63B1A">
        <w:tab/>
        <w:t>The Committee is concerned about:</w:t>
      </w:r>
    </w:p>
    <w:p w14:paraId="0E39BAED" w14:textId="4C2D82BD" w:rsidR="001562EE" w:rsidRPr="00B63B1A" w:rsidRDefault="001562EE" w:rsidP="001B4958">
      <w:pPr>
        <w:pStyle w:val="SingleTxtG"/>
        <w:ind w:firstLine="567"/>
      </w:pPr>
      <w:r w:rsidRPr="00B63B1A">
        <w:tab/>
      </w:r>
      <w:r w:rsidR="006B5EE1" w:rsidRPr="00B63B1A">
        <w:t>(a)</w:t>
      </w:r>
      <w:r w:rsidR="006B5EE1" w:rsidRPr="00B63B1A">
        <w:tab/>
      </w:r>
      <w:r w:rsidRPr="00B63B1A">
        <w:t>The prevalen</w:t>
      </w:r>
      <w:r w:rsidR="00303710" w:rsidRPr="00B63B1A">
        <w:t>t use of</w:t>
      </w:r>
      <w:r w:rsidR="000E1004" w:rsidRPr="00B63B1A">
        <w:t xml:space="preserve"> </w:t>
      </w:r>
      <w:r w:rsidR="00303710" w:rsidRPr="00B63B1A">
        <w:t xml:space="preserve">coercion and restrictive practices, </w:t>
      </w:r>
      <w:r w:rsidRPr="00B63B1A">
        <w:t>and the application of ECT</w:t>
      </w:r>
      <w:r w:rsidR="000E1004" w:rsidRPr="00B63B1A">
        <w:t xml:space="preserve"> and</w:t>
      </w:r>
      <w:r w:rsidRPr="00B63B1A">
        <w:t xml:space="preserve"> </w:t>
      </w:r>
      <w:r w:rsidR="000E1004" w:rsidRPr="00B63B1A">
        <w:t xml:space="preserve">medical treatments </w:t>
      </w:r>
      <w:r w:rsidRPr="00B63B1A">
        <w:t xml:space="preserve">without consent </w:t>
      </w:r>
      <w:r w:rsidR="00303710" w:rsidRPr="00B63B1A">
        <w:t>in group homes</w:t>
      </w:r>
      <w:r w:rsidR="000E1004" w:rsidRPr="00B63B1A">
        <w:t xml:space="preserve">, special </w:t>
      </w:r>
      <w:proofErr w:type="gramStart"/>
      <w:r w:rsidR="000E1004" w:rsidRPr="00B63B1A">
        <w:t xml:space="preserve">housing </w:t>
      </w:r>
      <w:r w:rsidR="00303710" w:rsidRPr="00B63B1A">
        <w:t xml:space="preserve"> and</w:t>
      </w:r>
      <w:proofErr w:type="gramEnd"/>
      <w:r w:rsidR="00303710" w:rsidRPr="00B63B1A">
        <w:t xml:space="preserve"> all forms of institutions</w:t>
      </w:r>
      <w:r w:rsidR="001A2BEA" w:rsidRPr="00B63B1A">
        <w:t xml:space="preserve"> for children and adults with disabilities</w:t>
      </w:r>
      <w:r w:rsidR="00303710" w:rsidRPr="00B63B1A">
        <w:t xml:space="preserve">, including psychiatric institutions; </w:t>
      </w:r>
    </w:p>
    <w:p w14:paraId="28B159D9" w14:textId="2FB792BE" w:rsidR="00BA45E0" w:rsidRPr="00B63B1A" w:rsidRDefault="001A2BEA" w:rsidP="00BA45E0">
      <w:pPr>
        <w:pStyle w:val="SingleTxtG"/>
        <w:ind w:firstLine="567"/>
      </w:pPr>
      <w:r w:rsidRPr="00B63B1A">
        <w:t>(b)</w:t>
      </w:r>
      <w:r w:rsidR="00BA45E0" w:rsidRPr="00B63B1A">
        <w:tab/>
      </w:r>
      <w:r w:rsidRPr="00B63B1A">
        <w:t xml:space="preserve">The lack of effective oversight mechanisms for children and adults with disabilities in places of detention, social care institutions, group homes and privately managed facilities, and the lack of implementation of recommendations from existing oversight mechanisms, including the National Preventive Mechanism. </w:t>
      </w:r>
    </w:p>
    <w:p w14:paraId="08E24D19" w14:textId="4F19A08D" w:rsidR="006B5EE1" w:rsidRPr="00B63B1A" w:rsidRDefault="006B5EE1" w:rsidP="006B5EE1">
      <w:pPr>
        <w:pStyle w:val="SingleTxtG"/>
        <w:rPr>
          <w:b/>
          <w:bCs/>
        </w:rPr>
      </w:pPr>
      <w:r w:rsidRPr="00B63B1A">
        <w:t>34.</w:t>
      </w:r>
      <w:r w:rsidRPr="00B63B1A">
        <w:rPr>
          <w:b/>
          <w:bCs/>
        </w:rPr>
        <w:tab/>
        <w:t>The Committee recommends that the State party</w:t>
      </w:r>
      <w:r w:rsidR="00C61702" w:rsidRPr="00B63B1A">
        <w:rPr>
          <w:b/>
          <w:bCs/>
        </w:rPr>
        <w:t>, in close consultation and active involvement of persons with disabilities through their representative organisations</w:t>
      </w:r>
      <w:r w:rsidRPr="00B63B1A">
        <w:rPr>
          <w:b/>
          <w:bCs/>
        </w:rPr>
        <w:t xml:space="preserve"> take all</w:t>
      </w:r>
      <w:r w:rsidR="00451AA6" w:rsidRPr="00B63B1A">
        <w:rPr>
          <w:b/>
          <w:bCs/>
        </w:rPr>
        <w:t xml:space="preserve"> necessary</w:t>
      </w:r>
      <w:r w:rsidRPr="00B63B1A">
        <w:rPr>
          <w:b/>
          <w:bCs/>
        </w:rPr>
        <w:t xml:space="preserve"> legislative, administrative and judicial measures</w:t>
      </w:r>
      <w:r w:rsidR="00BA45E0" w:rsidRPr="00B63B1A">
        <w:rPr>
          <w:b/>
          <w:bCs/>
        </w:rPr>
        <w:t xml:space="preserve"> </w:t>
      </w:r>
      <w:r w:rsidR="00E33250" w:rsidRPr="00B63B1A">
        <w:rPr>
          <w:b/>
          <w:bCs/>
        </w:rPr>
        <w:t>to</w:t>
      </w:r>
      <w:r w:rsidRPr="00B63B1A">
        <w:rPr>
          <w:b/>
          <w:bCs/>
        </w:rPr>
        <w:t>:</w:t>
      </w:r>
    </w:p>
    <w:p w14:paraId="7A3F5307" w14:textId="38667328" w:rsidR="00E33250" w:rsidRPr="00B63B1A" w:rsidRDefault="001562EE" w:rsidP="001562EE">
      <w:pPr>
        <w:pStyle w:val="SingleTxtG"/>
        <w:ind w:firstLine="567"/>
        <w:rPr>
          <w:b/>
          <w:bCs/>
        </w:rPr>
      </w:pPr>
      <w:r w:rsidRPr="00B63B1A">
        <w:rPr>
          <w:b/>
          <w:bCs/>
        </w:rPr>
        <w:t>(</w:t>
      </w:r>
      <w:r w:rsidR="00E33250" w:rsidRPr="00B63B1A">
        <w:rPr>
          <w:b/>
          <w:bCs/>
        </w:rPr>
        <w:t>a</w:t>
      </w:r>
      <w:r w:rsidRPr="00B63B1A">
        <w:rPr>
          <w:b/>
          <w:bCs/>
        </w:rPr>
        <w:t>)</w:t>
      </w:r>
      <w:r w:rsidRPr="00B63B1A">
        <w:rPr>
          <w:b/>
          <w:bCs/>
        </w:rPr>
        <w:tab/>
      </w:r>
      <w:r w:rsidR="00E33250" w:rsidRPr="00B63B1A">
        <w:rPr>
          <w:b/>
          <w:bCs/>
        </w:rPr>
        <w:t>P</w:t>
      </w:r>
      <w:r w:rsidRPr="00B63B1A">
        <w:rPr>
          <w:b/>
          <w:bCs/>
        </w:rPr>
        <w:t xml:space="preserve">rohibit the use of </w:t>
      </w:r>
      <w:r w:rsidR="00E33250" w:rsidRPr="00B63B1A">
        <w:rPr>
          <w:b/>
          <w:bCs/>
        </w:rPr>
        <w:t xml:space="preserve">coercion and restrictive practices, and the application of ECT </w:t>
      </w:r>
      <w:r w:rsidR="000E1004" w:rsidRPr="00B63B1A">
        <w:rPr>
          <w:b/>
          <w:bCs/>
        </w:rPr>
        <w:t>a</w:t>
      </w:r>
      <w:r w:rsidR="003A5EEC" w:rsidRPr="00B63B1A">
        <w:rPr>
          <w:b/>
          <w:bCs/>
        </w:rPr>
        <w:t>n</w:t>
      </w:r>
      <w:r w:rsidR="000E1004" w:rsidRPr="00B63B1A">
        <w:rPr>
          <w:b/>
          <w:bCs/>
        </w:rPr>
        <w:t xml:space="preserve">d medical treatments </w:t>
      </w:r>
      <w:r w:rsidR="00E33250" w:rsidRPr="00B63B1A">
        <w:rPr>
          <w:b/>
          <w:bCs/>
        </w:rPr>
        <w:t xml:space="preserve">without consent for </w:t>
      </w:r>
      <w:r w:rsidRPr="00B63B1A">
        <w:rPr>
          <w:b/>
          <w:bCs/>
        </w:rPr>
        <w:t xml:space="preserve">children and </w:t>
      </w:r>
      <w:r w:rsidR="00E33250" w:rsidRPr="00B63B1A">
        <w:rPr>
          <w:b/>
          <w:bCs/>
        </w:rPr>
        <w:t>adults with disabilities in group homes</w:t>
      </w:r>
      <w:r w:rsidR="000E1004" w:rsidRPr="00B63B1A">
        <w:rPr>
          <w:b/>
          <w:bCs/>
        </w:rPr>
        <w:t>, special housing</w:t>
      </w:r>
      <w:r w:rsidR="00E33250" w:rsidRPr="00B63B1A">
        <w:rPr>
          <w:b/>
          <w:bCs/>
        </w:rPr>
        <w:t xml:space="preserve"> and all forms of institutions, including psychiatric institutions, </w:t>
      </w:r>
      <w:r w:rsidRPr="00B63B1A">
        <w:rPr>
          <w:b/>
          <w:bCs/>
        </w:rPr>
        <w:t xml:space="preserve">and establish alternative non-coercive, age-appropriate support measures, and </w:t>
      </w:r>
      <w:r w:rsidR="00E11DC6" w:rsidRPr="00B63B1A">
        <w:rPr>
          <w:b/>
          <w:bCs/>
        </w:rPr>
        <w:t xml:space="preserve">provide </w:t>
      </w:r>
      <w:r w:rsidRPr="00B63B1A">
        <w:rPr>
          <w:b/>
          <w:bCs/>
        </w:rPr>
        <w:t xml:space="preserve">training in these measures for all </w:t>
      </w:r>
      <w:proofErr w:type="gramStart"/>
      <w:r w:rsidRPr="00B63B1A">
        <w:rPr>
          <w:b/>
          <w:bCs/>
        </w:rPr>
        <w:t>staff</w:t>
      </w:r>
      <w:r w:rsidR="00E33250" w:rsidRPr="00B63B1A">
        <w:rPr>
          <w:b/>
          <w:bCs/>
        </w:rPr>
        <w:t>;</w:t>
      </w:r>
      <w:proofErr w:type="gramEnd"/>
    </w:p>
    <w:p w14:paraId="5792C08F" w14:textId="3085414A" w:rsidR="006B5EE1" w:rsidRPr="00B63B1A" w:rsidRDefault="00E33250" w:rsidP="001562EE">
      <w:pPr>
        <w:pStyle w:val="SingleTxtG"/>
        <w:ind w:firstLine="567"/>
        <w:rPr>
          <w:b/>
          <w:bCs/>
        </w:rPr>
      </w:pPr>
      <w:r w:rsidRPr="00B63B1A">
        <w:rPr>
          <w:b/>
          <w:bCs/>
        </w:rPr>
        <w:t>(b)</w:t>
      </w:r>
      <w:r w:rsidR="00BA45E0" w:rsidRPr="00B63B1A">
        <w:rPr>
          <w:b/>
          <w:bCs/>
        </w:rPr>
        <w:tab/>
      </w:r>
      <w:r w:rsidRPr="00B63B1A">
        <w:rPr>
          <w:b/>
          <w:bCs/>
        </w:rPr>
        <w:t xml:space="preserve">Strengthen existing oversight mechanisms to ensure regular inspections </w:t>
      </w:r>
      <w:r w:rsidR="007F3577" w:rsidRPr="00B63B1A">
        <w:rPr>
          <w:b/>
          <w:bCs/>
        </w:rPr>
        <w:t>of places of detention, social care institutions, group homes and privately managed facilities, ensure regular public reporting to the Parliament and establish mechanisms to facilitate prompt implementation of recommendations.</w:t>
      </w:r>
    </w:p>
    <w:p w14:paraId="33F22396" w14:textId="77777777" w:rsidR="006B5EE1" w:rsidRPr="00B63B1A" w:rsidRDefault="006B5EE1" w:rsidP="006B5EE1">
      <w:pPr>
        <w:pStyle w:val="H23G"/>
      </w:pPr>
      <w:r w:rsidRPr="00B63B1A">
        <w:tab/>
      </w:r>
      <w:r w:rsidRPr="00B63B1A">
        <w:tab/>
        <w:t xml:space="preserve">Freedom from exploitation, </w:t>
      </w:r>
      <w:proofErr w:type="gramStart"/>
      <w:r w:rsidRPr="00B63B1A">
        <w:t>violence</w:t>
      </w:r>
      <w:proofErr w:type="gramEnd"/>
      <w:r w:rsidRPr="00B63B1A">
        <w:t xml:space="preserve"> and abuse (art. 16)</w:t>
      </w:r>
    </w:p>
    <w:p w14:paraId="2D9F3B51" w14:textId="77777777" w:rsidR="00DA1E32" w:rsidRPr="00B63B1A" w:rsidRDefault="006B5EE1" w:rsidP="005A5A5F">
      <w:pPr>
        <w:pStyle w:val="SingleTxtG"/>
      </w:pPr>
      <w:r w:rsidRPr="00B63B1A">
        <w:t>35.</w:t>
      </w:r>
      <w:r w:rsidRPr="00B63B1A">
        <w:tab/>
        <w:t>The Committee is concerned about</w:t>
      </w:r>
      <w:r w:rsidR="00DA1E32" w:rsidRPr="00B63B1A">
        <w:t>:</w:t>
      </w:r>
    </w:p>
    <w:p w14:paraId="6FC7530F" w14:textId="03268B8E" w:rsidR="00DA1E32" w:rsidRPr="00B63B1A" w:rsidRDefault="00DA1E32" w:rsidP="00BB4F39">
      <w:pPr>
        <w:pStyle w:val="SingleTxtG"/>
        <w:ind w:firstLine="567"/>
      </w:pPr>
      <w:r w:rsidRPr="00B63B1A">
        <w:t>(a)</w:t>
      </w:r>
      <w:r w:rsidR="00BB4F39" w:rsidRPr="00B63B1A">
        <w:tab/>
        <w:t>T</w:t>
      </w:r>
      <w:r w:rsidR="005A5A5F" w:rsidRPr="00B63B1A">
        <w:t>he p</w:t>
      </w:r>
      <w:r w:rsidR="001562EE" w:rsidRPr="00B63B1A">
        <w:t xml:space="preserve">revalence of all forms of </w:t>
      </w:r>
      <w:r w:rsidRPr="00B63B1A">
        <w:t xml:space="preserve">exploitation, </w:t>
      </w:r>
      <w:r w:rsidR="001562EE" w:rsidRPr="00B63B1A">
        <w:t xml:space="preserve">violence </w:t>
      </w:r>
      <w:r w:rsidRPr="00B63B1A">
        <w:t xml:space="preserve">and abuse </w:t>
      </w:r>
      <w:r w:rsidR="001562EE" w:rsidRPr="00B63B1A">
        <w:t xml:space="preserve">against children and adults with disabilities, in particular women </w:t>
      </w:r>
      <w:r w:rsidR="00475B05" w:rsidRPr="00B63B1A">
        <w:t xml:space="preserve">and girls </w:t>
      </w:r>
      <w:r w:rsidR="001562EE" w:rsidRPr="00B63B1A">
        <w:t xml:space="preserve">with </w:t>
      </w:r>
      <w:proofErr w:type="gramStart"/>
      <w:r w:rsidR="001562EE" w:rsidRPr="00B63B1A">
        <w:t>disabilities</w:t>
      </w:r>
      <w:r w:rsidRPr="00B63B1A">
        <w:t>;</w:t>
      </w:r>
      <w:proofErr w:type="gramEnd"/>
    </w:p>
    <w:p w14:paraId="2A9CF18D" w14:textId="7D5FDB85" w:rsidR="00043CD0" w:rsidRPr="00B63B1A" w:rsidRDefault="00043CD0" w:rsidP="00BB4F39">
      <w:pPr>
        <w:pStyle w:val="SingleTxtG"/>
        <w:ind w:firstLine="567"/>
      </w:pPr>
      <w:r w:rsidRPr="00B63B1A">
        <w:t>(b)</w:t>
      </w:r>
      <w:r w:rsidR="00BB4F39" w:rsidRPr="00B63B1A">
        <w:tab/>
        <w:t>T</w:t>
      </w:r>
      <w:r w:rsidRPr="00B63B1A">
        <w:t xml:space="preserve">he directives to the government inquiry into special residential homes omitting </w:t>
      </w:r>
      <w:r w:rsidR="00C57FC9" w:rsidRPr="00B63B1A">
        <w:t xml:space="preserve">explicit </w:t>
      </w:r>
      <w:r w:rsidRPr="00B63B1A">
        <w:t xml:space="preserve">reference to the </w:t>
      </w:r>
      <w:proofErr w:type="gramStart"/>
      <w:r w:rsidRPr="00B63B1A">
        <w:t>Convention;</w:t>
      </w:r>
      <w:proofErr w:type="gramEnd"/>
      <w:r w:rsidRPr="00B63B1A">
        <w:t xml:space="preserve"> </w:t>
      </w:r>
    </w:p>
    <w:p w14:paraId="43793773" w14:textId="2AF37019" w:rsidR="00DA1E32" w:rsidRPr="00B63B1A" w:rsidRDefault="00DA1E32" w:rsidP="00BB4F39">
      <w:pPr>
        <w:pStyle w:val="SingleTxtG"/>
        <w:ind w:firstLine="567"/>
      </w:pPr>
      <w:r w:rsidRPr="00B63B1A">
        <w:t>(</w:t>
      </w:r>
      <w:r w:rsidR="00BB4F39" w:rsidRPr="00B63B1A">
        <w:t>c</w:t>
      </w:r>
      <w:r w:rsidRPr="00B63B1A">
        <w:t>)</w:t>
      </w:r>
      <w:r w:rsidR="00BB4F39" w:rsidRPr="00B63B1A">
        <w:tab/>
        <w:t>T</w:t>
      </w:r>
      <w:r w:rsidRPr="00B63B1A">
        <w:t>hat persons with disabilities who are subjected to violence in institutional settings are not recognised as victims of crime</w:t>
      </w:r>
      <w:r w:rsidR="00E9299B" w:rsidRPr="00B63B1A">
        <w:t>.</w:t>
      </w:r>
    </w:p>
    <w:p w14:paraId="53670E82" w14:textId="5211F8E7" w:rsidR="006B5EE1" w:rsidRPr="00B63B1A" w:rsidRDefault="006B5EE1" w:rsidP="006B5EE1">
      <w:pPr>
        <w:pStyle w:val="SingleTxtG"/>
        <w:rPr>
          <w:b/>
          <w:bCs/>
        </w:rPr>
      </w:pPr>
      <w:r w:rsidRPr="00B63B1A">
        <w:t>36.</w:t>
      </w:r>
      <w:r w:rsidRPr="00B63B1A">
        <w:rPr>
          <w:b/>
          <w:bCs/>
        </w:rPr>
        <w:tab/>
        <w:t xml:space="preserve">The Committee recommends that the State party, in close consultation and active involvement of organizations of persons with disabilities, in particular organizations of women and girls with disabilities: </w:t>
      </w:r>
    </w:p>
    <w:p w14:paraId="33A4794E" w14:textId="5906ED28" w:rsidR="006B5EE1" w:rsidRPr="00B63B1A" w:rsidRDefault="006B5EE1" w:rsidP="001B4958">
      <w:pPr>
        <w:pStyle w:val="SingleTxtG"/>
        <w:ind w:firstLine="567"/>
        <w:rPr>
          <w:b/>
          <w:bCs/>
        </w:rPr>
      </w:pPr>
      <w:r w:rsidRPr="00B63B1A">
        <w:rPr>
          <w:b/>
          <w:bCs/>
        </w:rPr>
        <w:lastRenderedPageBreak/>
        <w:tab/>
        <w:t>(a)</w:t>
      </w:r>
      <w:r w:rsidRPr="00B63B1A">
        <w:rPr>
          <w:b/>
          <w:bCs/>
        </w:rPr>
        <w:tab/>
        <w:t>Develop a comprehensive and effective violence prevention and response strategy in line with the Council of Europe Convention on Preventing and Combating Violence against Women and Domestic Violence that responds to gender- and age-specific requirements</w:t>
      </w:r>
      <w:r w:rsidR="00D07F98" w:rsidRPr="00B63B1A">
        <w:rPr>
          <w:b/>
          <w:bCs/>
        </w:rPr>
        <w:t xml:space="preserve"> to address all forms of violence against children and adults with disabilit</w:t>
      </w:r>
      <w:r w:rsidR="00061899" w:rsidRPr="00B63B1A">
        <w:rPr>
          <w:b/>
          <w:bCs/>
        </w:rPr>
        <w:t>ies</w:t>
      </w:r>
      <w:r w:rsidR="00D07F98" w:rsidRPr="00B63B1A">
        <w:rPr>
          <w:b/>
          <w:bCs/>
        </w:rPr>
        <w:t xml:space="preserve"> in all settings, including in institutions, and take measures to ensure access to justice, </w:t>
      </w:r>
      <w:r w:rsidR="00C61702" w:rsidRPr="00B63B1A">
        <w:rPr>
          <w:b/>
          <w:bCs/>
        </w:rPr>
        <w:t>gender- and age-</w:t>
      </w:r>
      <w:r w:rsidR="00D07F98" w:rsidRPr="00B63B1A">
        <w:rPr>
          <w:b/>
          <w:bCs/>
        </w:rPr>
        <w:t xml:space="preserve">appropriate supports and </w:t>
      </w:r>
      <w:proofErr w:type="gramStart"/>
      <w:r w:rsidR="00D07F98" w:rsidRPr="00B63B1A">
        <w:rPr>
          <w:b/>
          <w:bCs/>
        </w:rPr>
        <w:t>rehabilitation</w:t>
      </w:r>
      <w:r w:rsidRPr="00B63B1A">
        <w:rPr>
          <w:b/>
          <w:bCs/>
        </w:rPr>
        <w:t>;</w:t>
      </w:r>
      <w:proofErr w:type="gramEnd"/>
      <w:r w:rsidRPr="00B63B1A">
        <w:rPr>
          <w:b/>
          <w:bCs/>
        </w:rPr>
        <w:t xml:space="preserve"> </w:t>
      </w:r>
    </w:p>
    <w:p w14:paraId="3E431015" w14:textId="2CCF8303" w:rsidR="00043CD0" w:rsidRPr="00B63B1A" w:rsidRDefault="00043CD0" w:rsidP="00BB4F39">
      <w:pPr>
        <w:pStyle w:val="SingleTxtG"/>
        <w:ind w:firstLine="567"/>
        <w:rPr>
          <w:b/>
          <w:bCs/>
        </w:rPr>
      </w:pPr>
      <w:r w:rsidRPr="00B63B1A">
        <w:rPr>
          <w:b/>
          <w:bCs/>
        </w:rPr>
        <w:t>(b)</w:t>
      </w:r>
      <w:r w:rsidR="00BB4F39" w:rsidRPr="00B63B1A">
        <w:rPr>
          <w:b/>
          <w:bCs/>
        </w:rPr>
        <w:tab/>
        <w:t>T</w:t>
      </w:r>
      <w:r w:rsidRPr="00B63B1A">
        <w:rPr>
          <w:b/>
          <w:bCs/>
        </w:rPr>
        <w:t xml:space="preserve">ake immediate action to ensure the government inquiry into special residential homes is </w:t>
      </w:r>
      <w:r w:rsidR="00C57FC9" w:rsidRPr="00B63B1A">
        <w:rPr>
          <w:b/>
          <w:bCs/>
        </w:rPr>
        <w:t xml:space="preserve">explicitly </w:t>
      </w:r>
      <w:r w:rsidRPr="00B63B1A">
        <w:rPr>
          <w:b/>
          <w:bCs/>
        </w:rPr>
        <w:t xml:space="preserve">underpinned by the standards and principles of the Convention, along with the Convention on the Rights of the Child and the European Convention on Human </w:t>
      </w:r>
      <w:proofErr w:type="gramStart"/>
      <w:r w:rsidRPr="00B63B1A">
        <w:rPr>
          <w:b/>
          <w:bCs/>
        </w:rPr>
        <w:t>Rights;</w:t>
      </w:r>
      <w:proofErr w:type="gramEnd"/>
      <w:r w:rsidRPr="00B63B1A">
        <w:rPr>
          <w:b/>
          <w:bCs/>
        </w:rPr>
        <w:t xml:space="preserve"> </w:t>
      </w:r>
    </w:p>
    <w:p w14:paraId="11EB3875" w14:textId="5E00D74F" w:rsidR="00D764DC" w:rsidRPr="00B63B1A" w:rsidRDefault="00D764DC" w:rsidP="00E9299B">
      <w:pPr>
        <w:pStyle w:val="SingleTxtG"/>
        <w:ind w:firstLine="567"/>
        <w:rPr>
          <w:b/>
          <w:bCs/>
        </w:rPr>
      </w:pPr>
      <w:r w:rsidRPr="00B63B1A">
        <w:rPr>
          <w:b/>
          <w:bCs/>
        </w:rPr>
        <w:t>(</w:t>
      </w:r>
      <w:r w:rsidR="00043CD0" w:rsidRPr="00B63B1A">
        <w:rPr>
          <w:b/>
          <w:bCs/>
        </w:rPr>
        <w:t>c</w:t>
      </w:r>
      <w:r w:rsidRPr="00B63B1A">
        <w:rPr>
          <w:b/>
          <w:bCs/>
        </w:rPr>
        <w:t>)</w:t>
      </w:r>
      <w:r w:rsidR="00BB4F39" w:rsidRPr="00B63B1A">
        <w:rPr>
          <w:b/>
          <w:bCs/>
        </w:rPr>
        <w:tab/>
      </w:r>
      <w:r w:rsidR="00B52EDB" w:rsidRPr="00B63B1A">
        <w:rPr>
          <w:b/>
          <w:bCs/>
        </w:rPr>
        <w:t xml:space="preserve">Take all legislative, administrative, and policy measures to ensure that children and adults with disabilities who are subjected to violence in institutional settings, including compulsory care are recognised as victims of crime to ensure reporting, </w:t>
      </w:r>
      <w:proofErr w:type="gramStart"/>
      <w:r w:rsidR="00B52EDB" w:rsidRPr="00B63B1A">
        <w:rPr>
          <w:b/>
          <w:bCs/>
        </w:rPr>
        <w:t>investigation</w:t>
      </w:r>
      <w:proofErr w:type="gramEnd"/>
      <w:r w:rsidR="00B52EDB" w:rsidRPr="00B63B1A">
        <w:rPr>
          <w:b/>
          <w:bCs/>
        </w:rPr>
        <w:t xml:space="preserve"> and prosecution on an equal basis with others</w:t>
      </w:r>
      <w:r w:rsidR="00E9299B" w:rsidRPr="00B63B1A">
        <w:rPr>
          <w:b/>
          <w:bCs/>
        </w:rPr>
        <w:t>.</w:t>
      </w:r>
    </w:p>
    <w:p w14:paraId="53E9C172" w14:textId="77777777" w:rsidR="006B5EE1" w:rsidRPr="00B63B1A" w:rsidRDefault="006B5EE1" w:rsidP="006B5EE1">
      <w:pPr>
        <w:pStyle w:val="H23G"/>
      </w:pPr>
      <w:r w:rsidRPr="00B63B1A">
        <w:tab/>
      </w:r>
      <w:r w:rsidRPr="00B63B1A">
        <w:tab/>
        <w:t>Protecting the integrity of the person (art. 17)</w:t>
      </w:r>
    </w:p>
    <w:p w14:paraId="5195764E" w14:textId="40992800" w:rsidR="006B5EE1" w:rsidRPr="00B63B1A" w:rsidRDefault="006B5EE1" w:rsidP="006B5EE1">
      <w:pPr>
        <w:pStyle w:val="SingleTxtG"/>
      </w:pPr>
      <w:r w:rsidRPr="00B63B1A">
        <w:t>39.</w:t>
      </w:r>
      <w:r w:rsidRPr="00B63B1A">
        <w:tab/>
        <w:t xml:space="preserve">The Committee is concerned </w:t>
      </w:r>
      <w:r w:rsidR="000E1004" w:rsidRPr="00B63B1A">
        <w:t xml:space="preserve">about the </w:t>
      </w:r>
      <w:r w:rsidR="00845232" w:rsidRPr="00B63B1A">
        <w:t>unnecessary</w:t>
      </w:r>
      <w:r w:rsidR="000E1004" w:rsidRPr="00B63B1A">
        <w:t>,</w:t>
      </w:r>
      <w:r w:rsidR="00845232" w:rsidRPr="00B63B1A">
        <w:t xml:space="preserve"> </w:t>
      </w:r>
      <w:proofErr w:type="gramStart"/>
      <w:r w:rsidR="00845232" w:rsidRPr="00B63B1A">
        <w:t>invasive</w:t>
      </w:r>
      <w:proofErr w:type="gramEnd"/>
      <w:r w:rsidR="00845232" w:rsidRPr="00B63B1A">
        <w:t xml:space="preserve"> or irreversible medical </w:t>
      </w:r>
      <w:r w:rsidR="000E1004" w:rsidRPr="00B63B1A">
        <w:t xml:space="preserve">interventions </w:t>
      </w:r>
      <w:r w:rsidR="00845232" w:rsidRPr="00B63B1A">
        <w:t xml:space="preserve">that modify sex characteristics </w:t>
      </w:r>
      <w:r w:rsidR="000E1004" w:rsidRPr="00B63B1A">
        <w:t xml:space="preserve">of </w:t>
      </w:r>
      <w:r w:rsidR="00845232" w:rsidRPr="00B63B1A">
        <w:t xml:space="preserve">intersex children. </w:t>
      </w:r>
    </w:p>
    <w:p w14:paraId="6DE866F9" w14:textId="0EF1A200" w:rsidR="006B5EE1" w:rsidRPr="00B63B1A" w:rsidRDefault="006B5EE1" w:rsidP="006B5EE1">
      <w:pPr>
        <w:pStyle w:val="SingleTxtG"/>
        <w:rPr>
          <w:b/>
          <w:bCs/>
        </w:rPr>
      </w:pPr>
      <w:r w:rsidRPr="00B63B1A">
        <w:t>40.</w:t>
      </w:r>
      <w:r w:rsidRPr="00B63B1A">
        <w:rPr>
          <w:b/>
          <w:bCs/>
        </w:rPr>
        <w:tab/>
        <w:t xml:space="preserve">The Committee recommends that the State party closely consult and actively involve representative organizations of intersex persons to ensure comprehensive protection for intersex children from </w:t>
      </w:r>
      <w:r w:rsidR="000E1004" w:rsidRPr="00B63B1A">
        <w:rPr>
          <w:b/>
          <w:bCs/>
        </w:rPr>
        <w:t xml:space="preserve">unnecessary, </w:t>
      </w:r>
      <w:proofErr w:type="gramStart"/>
      <w:r w:rsidRPr="00B63B1A">
        <w:rPr>
          <w:b/>
          <w:bCs/>
        </w:rPr>
        <w:t>invasive</w:t>
      </w:r>
      <w:proofErr w:type="gramEnd"/>
      <w:r w:rsidRPr="00B63B1A">
        <w:rPr>
          <w:b/>
          <w:bCs/>
        </w:rPr>
        <w:t xml:space="preserve"> or irreversible medical </w:t>
      </w:r>
      <w:r w:rsidR="000E1004" w:rsidRPr="00B63B1A">
        <w:rPr>
          <w:b/>
          <w:bCs/>
        </w:rPr>
        <w:t xml:space="preserve">interventions </w:t>
      </w:r>
      <w:r w:rsidRPr="00B63B1A">
        <w:rPr>
          <w:b/>
          <w:bCs/>
        </w:rPr>
        <w:t>that modify sex characteristics</w:t>
      </w:r>
      <w:r w:rsidR="000E1004" w:rsidRPr="00B63B1A">
        <w:rPr>
          <w:b/>
          <w:bCs/>
        </w:rPr>
        <w:t xml:space="preserve">. </w:t>
      </w:r>
    </w:p>
    <w:p w14:paraId="07C35A18" w14:textId="77777777" w:rsidR="006B5EE1" w:rsidRPr="00B63B1A" w:rsidRDefault="006B5EE1" w:rsidP="006B5EE1">
      <w:pPr>
        <w:pStyle w:val="H23G"/>
      </w:pPr>
      <w:r w:rsidRPr="00B63B1A">
        <w:tab/>
      </w:r>
      <w:r w:rsidRPr="00B63B1A">
        <w:tab/>
        <w:t>Liberty of movement and nationality (art. 18)</w:t>
      </w:r>
    </w:p>
    <w:p w14:paraId="6C63F31A" w14:textId="77777777" w:rsidR="006B5EE1" w:rsidRPr="00B63B1A" w:rsidRDefault="006B5EE1" w:rsidP="006B5EE1">
      <w:pPr>
        <w:pStyle w:val="SingleTxtG"/>
      </w:pPr>
      <w:r w:rsidRPr="00B63B1A">
        <w:t>41.</w:t>
      </w:r>
      <w:r w:rsidRPr="00B63B1A">
        <w:tab/>
        <w:t>The Committee is concerned about:</w:t>
      </w:r>
    </w:p>
    <w:p w14:paraId="4458702C" w14:textId="77642491" w:rsidR="006456EF" w:rsidRPr="00B63B1A" w:rsidRDefault="006B5EE1" w:rsidP="001B4958">
      <w:pPr>
        <w:pStyle w:val="SingleTxtG"/>
        <w:ind w:firstLine="567"/>
      </w:pPr>
      <w:r w:rsidRPr="00B63B1A">
        <w:tab/>
        <w:t>(a)</w:t>
      </w:r>
      <w:r w:rsidRPr="00B63B1A">
        <w:tab/>
      </w:r>
      <w:r w:rsidR="006456EF" w:rsidRPr="00B63B1A">
        <w:t xml:space="preserve">The </w:t>
      </w:r>
      <w:r w:rsidR="004D49AF" w:rsidRPr="00B63B1A">
        <w:t xml:space="preserve">negative </w:t>
      </w:r>
      <w:r w:rsidR="006456EF" w:rsidRPr="00B63B1A">
        <w:t xml:space="preserve">impact of the </w:t>
      </w:r>
      <w:proofErr w:type="spellStart"/>
      <w:r w:rsidR="006456EF" w:rsidRPr="00B63B1A">
        <w:t>Tidö</w:t>
      </w:r>
      <w:proofErr w:type="spellEnd"/>
      <w:r w:rsidR="006456EF" w:rsidRPr="00B63B1A">
        <w:t xml:space="preserve">-agreement on migrants with disabilities and their </w:t>
      </w:r>
      <w:r w:rsidR="004D49AF" w:rsidRPr="00B63B1A">
        <w:t xml:space="preserve">access to all forms of welfare including </w:t>
      </w:r>
      <w:r w:rsidR="00473743" w:rsidRPr="00B63B1A">
        <w:t xml:space="preserve">healthcare, personal assistance and housing, and proposals to limit access to citizenship to those who can support </w:t>
      </w:r>
      <w:r w:rsidR="004D49AF" w:rsidRPr="00B63B1A">
        <w:t xml:space="preserve">themselves </w:t>
      </w:r>
      <w:r w:rsidR="00473743" w:rsidRPr="00B63B1A">
        <w:t xml:space="preserve">for 8 </w:t>
      </w:r>
      <w:proofErr w:type="gramStart"/>
      <w:r w:rsidR="00473743" w:rsidRPr="00B63B1A">
        <w:t>years;</w:t>
      </w:r>
      <w:proofErr w:type="gramEnd"/>
    </w:p>
    <w:p w14:paraId="05D5A450" w14:textId="7E34392C" w:rsidR="006B5EE1" w:rsidRPr="00B63B1A" w:rsidRDefault="00473743" w:rsidP="001B4958">
      <w:pPr>
        <w:pStyle w:val="SingleTxtG"/>
        <w:ind w:firstLine="567"/>
      </w:pPr>
      <w:r w:rsidRPr="00B63B1A">
        <w:tab/>
        <w:t>(b)</w:t>
      </w:r>
      <w:r w:rsidRPr="00B63B1A">
        <w:tab/>
        <w:t>The lack of uniform application of legislation on provision of support services in different regions and municipalities, resulting in loss of some support services when moving from one municipality to another</w:t>
      </w:r>
      <w:r w:rsidR="006B5EE1" w:rsidRPr="00B63B1A">
        <w:t xml:space="preserve">. </w:t>
      </w:r>
    </w:p>
    <w:p w14:paraId="700D44AF" w14:textId="427DA7E6" w:rsidR="006B5EE1" w:rsidRPr="00B63B1A" w:rsidRDefault="006B5EE1" w:rsidP="006B5EE1">
      <w:pPr>
        <w:pStyle w:val="SingleTxtG"/>
        <w:rPr>
          <w:b/>
          <w:bCs/>
        </w:rPr>
      </w:pPr>
      <w:r w:rsidRPr="00B63B1A">
        <w:t>42.</w:t>
      </w:r>
      <w:r w:rsidRPr="00B63B1A">
        <w:rPr>
          <w:b/>
          <w:bCs/>
        </w:rPr>
        <w:tab/>
        <w:t xml:space="preserve">The Committee recommends that the State party take all legislative, </w:t>
      </w:r>
      <w:proofErr w:type="gramStart"/>
      <w:r w:rsidRPr="00B63B1A">
        <w:rPr>
          <w:b/>
          <w:bCs/>
        </w:rPr>
        <w:t>administrative</w:t>
      </w:r>
      <w:proofErr w:type="gramEnd"/>
      <w:r w:rsidRPr="00B63B1A">
        <w:rPr>
          <w:b/>
          <w:bCs/>
        </w:rPr>
        <w:t xml:space="preserve"> and other measures</w:t>
      </w:r>
      <w:r w:rsidR="004D49AF" w:rsidRPr="00B63B1A">
        <w:rPr>
          <w:b/>
          <w:bCs/>
        </w:rPr>
        <w:t xml:space="preserve"> to</w:t>
      </w:r>
      <w:r w:rsidRPr="00B63B1A">
        <w:rPr>
          <w:b/>
          <w:bCs/>
        </w:rPr>
        <w:t>:</w:t>
      </w:r>
    </w:p>
    <w:p w14:paraId="699D8719" w14:textId="7101B768" w:rsidR="00473743" w:rsidRPr="00B63B1A" w:rsidRDefault="00473743" w:rsidP="001B4958">
      <w:pPr>
        <w:pStyle w:val="SingleTxtG"/>
        <w:ind w:firstLine="567"/>
        <w:rPr>
          <w:b/>
          <w:bCs/>
        </w:rPr>
      </w:pPr>
      <w:r w:rsidRPr="00B63B1A">
        <w:rPr>
          <w:b/>
          <w:bCs/>
        </w:rPr>
        <w:tab/>
      </w:r>
      <w:r w:rsidR="006B5EE1" w:rsidRPr="00B63B1A">
        <w:rPr>
          <w:b/>
          <w:bCs/>
        </w:rPr>
        <w:t>(a)</w:t>
      </w:r>
      <w:r w:rsidRPr="00B63B1A">
        <w:rPr>
          <w:b/>
          <w:bCs/>
        </w:rPr>
        <w:tab/>
        <w:t xml:space="preserve">Ensure access to </w:t>
      </w:r>
      <w:r w:rsidR="004D49AF" w:rsidRPr="00B63B1A">
        <w:rPr>
          <w:b/>
          <w:bCs/>
        </w:rPr>
        <w:t xml:space="preserve">all forms of welfare and </w:t>
      </w:r>
      <w:r w:rsidRPr="00B63B1A">
        <w:rPr>
          <w:b/>
          <w:bCs/>
        </w:rPr>
        <w:t xml:space="preserve">essential supports, including disability-specific supports, for </w:t>
      </w:r>
      <w:r w:rsidR="004D49AF" w:rsidRPr="00B63B1A">
        <w:rPr>
          <w:b/>
          <w:bCs/>
        </w:rPr>
        <w:t>migrants</w:t>
      </w:r>
      <w:r w:rsidRPr="00B63B1A">
        <w:rPr>
          <w:b/>
          <w:bCs/>
        </w:rPr>
        <w:t xml:space="preserve"> with disabilities is available without </w:t>
      </w:r>
      <w:proofErr w:type="gramStart"/>
      <w:r w:rsidRPr="00B63B1A">
        <w:rPr>
          <w:b/>
          <w:bCs/>
        </w:rPr>
        <w:t>discrimination;</w:t>
      </w:r>
      <w:proofErr w:type="gramEnd"/>
      <w:r w:rsidRPr="00B63B1A">
        <w:rPr>
          <w:b/>
          <w:bCs/>
        </w:rPr>
        <w:t xml:space="preserve"> </w:t>
      </w:r>
    </w:p>
    <w:p w14:paraId="00603042" w14:textId="37E0C4D2" w:rsidR="00473743" w:rsidRPr="00B63B1A" w:rsidRDefault="00473743" w:rsidP="00473743">
      <w:pPr>
        <w:pStyle w:val="SingleTxtG"/>
        <w:ind w:firstLine="567"/>
        <w:rPr>
          <w:b/>
          <w:bCs/>
        </w:rPr>
      </w:pPr>
      <w:r w:rsidRPr="00B63B1A">
        <w:rPr>
          <w:b/>
          <w:bCs/>
        </w:rPr>
        <w:t>(b)</w:t>
      </w:r>
      <w:r w:rsidRPr="00B63B1A">
        <w:rPr>
          <w:b/>
          <w:bCs/>
        </w:rPr>
        <w:tab/>
        <w:t>Develop a national framework</w:t>
      </w:r>
      <w:r w:rsidR="00E11DC6" w:rsidRPr="00B63B1A">
        <w:rPr>
          <w:b/>
          <w:bCs/>
        </w:rPr>
        <w:t>, in close consultation and active involvement of organisations of persons with disabilities,</w:t>
      </w:r>
      <w:r w:rsidRPr="00B63B1A">
        <w:rPr>
          <w:b/>
          <w:bCs/>
        </w:rPr>
        <w:t xml:space="preserve"> for ensuring mobility of support services across municipalities.</w:t>
      </w:r>
    </w:p>
    <w:p w14:paraId="453E781A" w14:textId="77777777" w:rsidR="006B5EE1" w:rsidRPr="00B63B1A" w:rsidRDefault="006B5EE1" w:rsidP="006B5EE1">
      <w:pPr>
        <w:pStyle w:val="H23G"/>
      </w:pPr>
      <w:r w:rsidRPr="00B63B1A">
        <w:tab/>
      </w:r>
      <w:r w:rsidRPr="00B63B1A">
        <w:tab/>
        <w:t>Living independently and being included in the community (art. 19)</w:t>
      </w:r>
    </w:p>
    <w:p w14:paraId="08924694" w14:textId="69CD7989" w:rsidR="006B5EE1" w:rsidRPr="00B63B1A" w:rsidRDefault="006B5EE1" w:rsidP="006B5EE1">
      <w:pPr>
        <w:pStyle w:val="SingleTxtG"/>
      </w:pPr>
      <w:r w:rsidRPr="00B63B1A">
        <w:t>43.</w:t>
      </w:r>
      <w:r w:rsidRPr="00B63B1A">
        <w:tab/>
        <w:t>The Committee is concerned</w:t>
      </w:r>
      <w:r w:rsidR="004D49AF" w:rsidRPr="00B63B1A">
        <w:t xml:space="preserve"> about</w:t>
      </w:r>
      <w:r w:rsidRPr="00B63B1A">
        <w:t>:</w:t>
      </w:r>
    </w:p>
    <w:p w14:paraId="3D80FA14" w14:textId="0A520D65" w:rsidR="00284647" w:rsidRPr="00B63B1A" w:rsidRDefault="006B5EE1" w:rsidP="001B4958">
      <w:pPr>
        <w:pStyle w:val="SingleTxtG"/>
        <w:ind w:firstLine="567"/>
      </w:pPr>
      <w:r w:rsidRPr="00B63B1A">
        <w:tab/>
        <w:t>(a)</w:t>
      </w:r>
      <w:r w:rsidRPr="00B63B1A">
        <w:tab/>
      </w:r>
      <w:r w:rsidR="00A12FBA" w:rsidRPr="00B63B1A">
        <w:t xml:space="preserve">Increased restrictions </w:t>
      </w:r>
      <w:r w:rsidR="00284647" w:rsidRPr="00B63B1A">
        <w:t>to personal assistance</w:t>
      </w:r>
      <w:r w:rsidR="00A12FBA" w:rsidRPr="00B63B1A">
        <w:t xml:space="preserve">, the loss of personal assistance </w:t>
      </w:r>
      <w:r w:rsidR="007201D1" w:rsidRPr="00B63B1A">
        <w:t xml:space="preserve">for 1500 </w:t>
      </w:r>
      <w:r w:rsidR="00381D1E" w:rsidRPr="00B63B1A">
        <w:t>persons</w:t>
      </w:r>
      <w:r w:rsidR="007201D1" w:rsidRPr="00B63B1A">
        <w:t xml:space="preserve"> with disabilities between 2015 and 2022, the </w:t>
      </w:r>
      <w:r w:rsidR="00E919BD" w:rsidRPr="00B63B1A">
        <w:t xml:space="preserve">lack of opportunity to apply for personal assistance for persons </w:t>
      </w:r>
      <w:r w:rsidR="00284647" w:rsidRPr="00B63B1A">
        <w:t xml:space="preserve">over 66 and </w:t>
      </w:r>
      <w:r w:rsidR="007201D1" w:rsidRPr="00B63B1A">
        <w:t xml:space="preserve">the variation of personal assistance </w:t>
      </w:r>
      <w:r w:rsidR="00284647" w:rsidRPr="00B63B1A">
        <w:t xml:space="preserve">between </w:t>
      </w:r>
      <w:proofErr w:type="gramStart"/>
      <w:r w:rsidR="00284647" w:rsidRPr="00B63B1A">
        <w:t>municipalities;</w:t>
      </w:r>
      <w:proofErr w:type="gramEnd"/>
    </w:p>
    <w:p w14:paraId="0D89C018" w14:textId="27E843D4" w:rsidR="00FA5E6C" w:rsidRPr="00B63B1A" w:rsidRDefault="00284647" w:rsidP="00FA5E6C">
      <w:pPr>
        <w:pStyle w:val="SingleTxtG"/>
        <w:ind w:firstLine="567"/>
      </w:pPr>
      <w:r w:rsidRPr="00B63B1A">
        <w:t>(b)</w:t>
      </w:r>
      <w:r w:rsidRPr="00B63B1A">
        <w:tab/>
      </w:r>
      <w:r w:rsidR="007201D1" w:rsidRPr="00B63B1A">
        <w:t>T</w:t>
      </w:r>
      <w:r w:rsidR="005C4E58" w:rsidRPr="00B63B1A">
        <w:t>he increase</w:t>
      </w:r>
      <w:r w:rsidR="007201D1" w:rsidRPr="00B63B1A">
        <w:t>d rates</w:t>
      </w:r>
      <w:r w:rsidR="005C4E58" w:rsidRPr="00B63B1A">
        <w:t xml:space="preserve"> of </w:t>
      </w:r>
      <w:r w:rsidR="00FA5E6C" w:rsidRPr="00B63B1A">
        <w:t xml:space="preserve">institutionalisation for children and adults with </w:t>
      </w:r>
      <w:proofErr w:type="gramStart"/>
      <w:r w:rsidR="00FA5E6C" w:rsidRPr="00B63B1A">
        <w:t>disabilities</w:t>
      </w:r>
      <w:r w:rsidR="005C4E58" w:rsidRPr="00B63B1A">
        <w:t>;</w:t>
      </w:r>
      <w:proofErr w:type="gramEnd"/>
    </w:p>
    <w:p w14:paraId="11D790EB" w14:textId="4981D4D7" w:rsidR="004B172E" w:rsidRPr="00B63B1A" w:rsidRDefault="004B172E" w:rsidP="00FA5E6C">
      <w:pPr>
        <w:pStyle w:val="SingleTxtG"/>
        <w:ind w:firstLine="567"/>
      </w:pPr>
      <w:r w:rsidRPr="00B63B1A">
        <w:t>(c)</w:t>
      </w:r>
      <w:r w:rsidRPr="00B63B1A">
        <w:tab/>
      </w:r>
      <w:r w:rsidR="007201D1" w:rsidRPr="00B63B1A">
        <w:t>P</w:t>
      </w:r>
      <w:r w:rsidRPr="00B63B1A">
        <w:t xml:space="preserve">ersons with disabilities </w:t>
      </w:r>
      <w:r w:rsidR="007201D1" w:rsidRPr="00B63B1A">
        <w:t xml:space="preserve">being denied the right </w:t>
      </w:r>
      <w:r w:rsidRPr="00B63B1A">
        <w:t xml:space="preserve">to </w:t>
      </w:r>
      <w:r w:rsidR="007201D1" w:rsidRPr="00B63B1A">
        <w:t xml:space="preserve">choose their place of residence and where and with whom they live on an equal basis with others. </w:t>
      </w:r>
    </w:p>
    <w:p w14:paraId="52EB1AF5" w14:textId="089BA5EE" w:rsidR="006B5EE1" w:rsidRPr="00B63B1A" w:rsidRDefault="006B5EE1" w:rsidP="00FA5E6C">
      <w:pPr>
        <w:pStyle w:val="SingleTxtG"/>
        <w:rPr>
          <w:b/>
          <w:bCs/>
        </w:rPr>
      </w:pPr>
      <w:r w:rsidRPr="00B63B1A">
        <w:t>44.</w:t>
      </w:r>
      <w:r w:rsidRPr="00B63B1A">
        <w:rPr>
          <w:b/>
          <w:bCs/>
        </w:rPr>
        <w:tab/>
        <w:t xml:space="preserve">Recalling its general comment No. 5 (2017), its guidelines on deinstitutionalization, including in emergencies, and the report of the Special </w:t>
      </w:r>
      <w:r w:rsidRPr="00B63B1A">
        <w:rPr>
          <w:b/>
          <w:bCs/>
        </w:rPr>
        <w:lastRenderedPageBreak/>
        <w:t>Rapporteur on the rights of persons with disabilities on the transformation of services for persons with disabilities,</w:t>
      </w:r>
      <w:r w:rsidRPr="00B63B1A">
        <w:rPr>
          <w:rStyle w:val="Fotnotsreferens"/>
        </w:rPr>
        <w:footnoteReference w:id="9"/>
      </w:r>
      <w:r w:rsidRPr="00B63B1A">
        <w:rPr>
          <w:b/>
          <w:bCs/>
        </w:rPr>
        <w:t xml:space="preserve"> the Committee recommends that the State party, in close consultation and active involvement of persons with disabilities</w:t>
      </w:r>
      <w:r w:rsidR="00E05D43" w:rsidRPr="00B63B1A">
        <w:rPr>
          <w:b/>
          <w:bCs/>
        </w:rPr>
        <w:t xml:space="preserve"> </w:t>
      </w:r>
      <w:r w:rsidR="0083317A" w:rsidRPr="00B63B1A">
        <w:rPr>
          <w:b/>
          <w:bCs/>
        </w:rPr>
        <w:t xml:space="preserve">take immediate action to develop and </w:t>
      </w:r>
      <w:r w:rsidR="00E05D43" w:rsidRPr="00B63B1A">
        <w:rPr>
          <w:b/>
          <w:bCs/>
        </w:rPr>
        <w:t>implement a national deinstitutionalisation strategy</w:t>
      </w:r>
      <w:r w:rsidR="00E9299B" w:rsidRPr="00B63B1A">
        <w:rPr>
          <w:b/>
          <w:bCs/>
        </w:rPr>
        <w:t xml:space="preserve"> </w:t>
      </w:r>
      <w:r w:rsidR="00E05D43" w:rsidRPr="00B63B1A">
        <w:rPr>
          <w:b/>
          <w:bCs/>
        </w:rPr>
        <w:t>that includes</w:t>
      </w:r>
      <w:r w:rsidRPr="00B63B1A">
        <w:rPr>
          <w:b/>
          <w:bCs/>
        </w:rPr>
        <w:t xml:space="preserve">: </w:t>
      </w:r>
    </w:p>
    <w:p w14:paraId="0623B29A" w14:textId="458C4354" w:rsidR="00FA5E6C" w:rsidRPr="00B63B1A" w:rsidRDefault="00FA5E6C" w:rsidP="00FA5E6C">
      <w:pPr>
        <w:pStyle w:val="SingleTxtG"/>
        <w:ind w:firstLine="567"/>
        <w:rPr>
          <w:b/>
          <w:bCs/>
        </w:rPr>
      </w:pPr>
      <w:r w:rsidRPr="00B63B1A">
        <w:rPr>
          <w:b/>
          <w:bCs/>
        </w:rPr>
        <w:t>(a)</w:t>
      </w:r>
      <w:r w:rsidRPr="00B63B1A">
        <w:rPr>
          <w:b/>
          <w:bCs/>
        </w:rPr>
        <w:tab/>
      </w:r>
      <w:r w:rsidR="00E05D43" w:rsidRPr="00B63B1A">
        <w:rPr>
          <w:b/>
          <w:bCs/>
        </w:rPr>
        <w:t>L</w:t>
      </w:r>
      <w:r w:rsidRPr="00B63B1A">
        <w:rPr>
          <w:b/>
          <w:bCs/>
        </w:rPr>
        <w:t>egislative, administrative</w:t>
      </w:r>
      <w:r w:rsidR="007201D1" w:rsidRPr="00B63B1A">
        <w:rPr>
          <w:b/>
          <w:bCs/>
        </w:rPr>
        <w:t>, policy</w:t>
      </w:r>
      <w:r w:rsidRPr="00B63B1A">
        <w:rPr>
          <w:b/>
          <w:bCs/>
        </w:rPr>
        <w:t xml:space="preserve"> </w:t>
      </w:r>
      <w:r w:rsidR="007201D1" w:rsidRPr="00B63B1A">
        <w:rPr>
          <w:b/>
          <w:bCs/>
        </w:rPr>
        <w:t xml:space="preserve">and other </w:t>
      </w:r>
      <w:r w:rsidRPr="00B63B1A">
        <w:rPr>
          <w:b/>
          <w:bCs/>
        </w:rPr>
        <w:t xml:space="preserve">measures to ensure </w:t>
      </w:r>
      <w:r w:rsidR="000B1882" w:rsidRPr="00B63B1A">
        <w:rPr>
          <w:b/>
          <w:bCs/>
        </w:rPr>
        <w:t xml:space="preserve">nationally consistent </w:t>
      </w:r>
      <w:r w:rsidRPr="00B63B1A">
        <w:rPr>
          <w:b/>
          <w:bCs/>
        </w:rPr>
        <w:t>access to individualised personal assistance and support</w:t>
      </w:r>
      <w:r w:rsidR="007201D1" w:rsidRPr="00B63B1A">
        <w:rPr>
          <w:b/>
          <w:bCs/>
        </w:rPr>
        <w:t xml:space="preserve"> to all persons with disabilities</w:t>
      </w:r>
      <w:r w:rsidRPr="00B63B1A">
        <w:rPr>
          <w:b/>
          <w:bCs/>
        </w:rPr>
        <w:t xml:space="preserve">, </w:t>
      </w:r>
      <w:r w:rsidR="007201D1" w:rsidRPr="00B63B1A">
        <w:rPr>
          <w:b/>
          <w:bCs/>
        </w:rPr>
        <w:t xml:space="preserve">including the 1500 </w:t>
      </w:r>
      <w:r w:rsidR="00381D1E" w:rsidRPr="00B63B1A">
        <w:rPr>
          <w:b/>
          <w:bCs/>
        </w:rPr>
        <w:t>persons</w:t>
      </w:r>
      <w:r w:rsidR="007201D1" w:rsidRPr="00B63B1A">
        <w:rPr>
          <w:b/>
          <w:bCs/>
        </w:rPr>
        <w:t xml:space="preserve"> with disabilities who lost </w:t>
      </w:r>
      <w:r w:rsidR="000B1882" w:rsidRPr="00B63B1A">
        <w:rPr>
          <w:b/>
          <w:bCs/>
        </w:rPr>
        <w:t>personal assistance between 2015 and 2022,</w:t>
      </w:r>
      <w:r w:rsidR="007201D1" w:rsidRPr="00B63B1A">
        <w:rPr>
          <w:b/>
          <w:bCs/>
        </w:rPr>
        <w:t xml:space="preserve"> </w:t>
      </w:r>
      <w:r w:rsidR="000B1882" w:rsidRPr="00B63B1A">
        <w:rPr>
          <w:b/>
          <w:bCs/>
        </w:rPr>
        <w:t xml:space="preserve">and to persons with disabilities over the age of </w:t>
      </w:r>
      <w:proofErr w:type="gramStart"/>
      <w:r w:rsidR="000B1882" w:rsidRPr="00B63B1A">
        <w:rPr>
          <w:b/>
          <w:bCs/>
        </w:rPr>
        <w:t>66;</w:t>
      </w:r>
      <w:proofErr w:type="gramEnd"/>
    </w:p>
    <w:p w14:paraId="6404B05C" w14:textId="28466D07" w:rsidR="00E05D43" w:rsidRPr="00B63B1A" w:rsidRDefault="00FA5E6C" w:rsidP="00FA5E6C">
      <w:pPr>
        <w:pStyle w:val="SingleTxtG"/>
        <w:ind w:firstLine="567"/>
        <w:rPr>
          <w:b/>
          <w:bCs/>
        </w:rPr>
      </w:pPr>
      <w:r w:rsidRPr="00B63B1A">
        <w:rPr>
          <w:b/>
          <w:bCs/>
        </w:rPr>
        <w:t>(b)</w:t>
      </w:r>
      <w:r w:rsidR="00BB4F39" w:rsidRPr="00B63B1A">
        <w:rPr>
          <w:b/>
          <w:bCs/>
        </w:rPr>
        <w:tab/>
        <w:t>I</w:t>
      </w:r>
      <w:r w:rsidR="004B172E" w:rsidRPr="00B63B1A">
        <w:rPr>
          <w:b/>
          <w:bCs/>
        </w:rPr>
        <w:t xml:space="preserve">ndependent monitoring of institutions until they are </w:t>
      </w:r>
      <w:proofErr w:type="gramStart"/>
      <w:r w:rsidR="004B172E" w:rsidRPr="00B63B1A">
        <w:rPr>
          <w:b/>
          <w:bCs/>
        </w:rPr>
        <w:t>closed</w:t>
      </w:r>
      <w:r w:rsidR="002C4A2E" w:rsidRPr="00B63B1A">
        <w:rPr>
          <w:b/>
          <w:bCs/>
        </w:rPr>
        <w:t>;</w:t>
      </w:r>
      <w:proofErr w:type="gramEnd"/>
      <w:r w:rsidR="004B172E" w:rsidRPr="00B63B1A">
        <w:rPr>
          <w:b/>
          <w:bCs/>
        </w:rPr>
        <w:t xml:space="preserve"> </w:t>
      </w:r>
    </w:p>
    <w:p w14:paraId="4244E054" w14:textId="0374F14A" w:rsidR="00FA5E6C" w:rsidRPr="00B63B1A" w:rsidRDefault="00E05D43" w:rsidP="00FA5E6C">
      <w:pPr>
        <w:pStyle w:val="SingleTxtG"/>
        <w:ind w:firstLine="567"/>
        <w:rPr>
          <w:b/>
          <w:bCs/>
        </w:rPr>
      </w:pPr>
      <w:r w:rsidRPr="00B63B1A">
        <w:rPr>
          <w:b/>
          <w:bCs/>
        </w:rPr>
        <w:t xml:space="preserve">(c) </w:t>
      </w:r>
      <w:r w:rsidR="00BB4F39" w:rsidRPr="00B63B1A">
        <w:rPr>
          <w:b/>
          <w:bCs/>
        </w:rPr>
        <w:tab/>
        <w:t>R</w:t>
      </w:r>
      <w:r w:rsidR="00FA5E6C" w:rsidRPr="00B63B1A">
        <w:rPr>
          <w:b/>
          <w:bCs/>
        </w:rPr>
        <w:t>elevant policies to close existing institutions</w:t>
      </w:r>
      <w:r w:rsidRPr="00B63B1A">
        <w:rPr>
          <w:b/>
          <w:bCs/>
        </w:rPr>
        <w:t xml:space="preserve"> and </w:t>
      </w:r>
      <w:r w:rsidR="00FA5E6C" w:rsidRPr="00B63B1A">
        <w:rPr>
          <w:b/>
          <w:bCs/>
        </w:rPr>
        <w:t>to prevent reinstitutionalisation</w:t>
      </w:r>
      <w:r w:rsidR="003825FA" w:rsidRPr="00B63B1A">
        <w:rPr>
          <w:b/>
          <w:bCs/>
        </w:rPr>
        <w:t xml:space="preserve"> of persons with </w:t>
      </w:r>
      <w:proofErr w:type="gramStart"/>
      <w:r w:rsidR="003825FA" w:rsidRPr="00B63B1A">
        <w:rPr>
          <w:b/>
          <w:bCs/>
        </w:rPr>
        <w:t>disabilities</w:t>
      </w:r>
      <w:r w:rsidR="00FA5E6C" w:rsidRPr="00B63B1A">
        <w:rPr>
          <w:b/>
          <w:bCs/>
        </w:rPr>
        <w:t>;</w:t>
      </w:r>
      <w:proofErr w:type="gramEnd"/>
    </w:p>
    <w:p w14:paraId="7A5BEE75" w14:textId="1AA0B629" w:rsidR="00E05D43" w:rsidRPr="00B63B1A" w:rsidRDefault="00E05D43" w:rsidP="00FA5E6C">
      <w:pPr>
        <w:pStyle w:val="SingleTxtG"/>
        <w:ind w:firstLine="567"/>
        <w:rPr>
          <w:b/>
          <w:bCs/>
        </w:rPr>
      </w:pPr>
      <w:r w:rsidRPr="00B63B1A">
        <w:rPr>
          <w:b/>
          <w:bCs/>
        </w:rPr>
        <w:t>(d)</w:t>
      </w:r>
      <w:r w:rsidR="00BB4F39" w:rsidRPr="00B63B1A">
        <w:rPr>
          <w:b/>
          <w:bCs/>
        </w:rPr>
        <w:tab/>
      </w:r>
      <w:r w:rsidR="00122F25" w:rsidRPr="00B63B1A">
        <w:rPr>
          <w:b/>
          <w:bCs/>
        </w:rPr>
        <w:t>Strengthen the</w:t>
      </w:r>
      <w:r w:rsidRPr="00B63B1A">
        <w:rPr>
          <w:b/>
          <w:bCs/>
        </w:rPr>
        <w:t xml:space="preserve"> support system for children with disabilities to live with their families or grow up in family environments instead of </w:t>
      </w:r>
      <w:proofErr w:type="gramStart"/>
      <w:r w:rsidRPr="00B63B1A">
        <w:rPr>
          <w:b/>
          <w:bCs/>
        </w:rPr>
        <w:t>institutions;</w:t>
      </w:r>
      <w:proofErr w:type="gramEnd"/>
    </w:p>
    <w:p w14:paraId="6D06EB3B" w14:textId="1BB2E59B" w:rsidR="006B5EE1" w:rsidRPr="00B63B1A" w:rsidRDefault="00FA5E6C" w:rsidP="004B172E">
      <w:pPr>
        <w:pStyle w:val="SingleTxtG"/>
        <w:ind w:firstLine="567"/>
        <w:rPr>
          <w:b/>
          <w:bCs/>
        </w:rPr>
      </w:pPr>
      <w:r w:rsidRPr="00B63B1A">
        <w:rPr>
          <w:b/>
          <w:bCs/>
        </w:rPr>
        <w:t>(</w:t>
      </w:r>
      <w:r w:rsidR="00BB4F39" w:rsidRPr="00B63B1A">
        <w:rPr>
          <w:b/>
          <w:bCs/>
        </w:rPr>
        <w:t>e</w:t>
      </w:r>
      <w:r w:rsidRPr="00B63B1A">
        <w:rPr>
          <w:b/>
          <w:bCs/>
        </w:rPr>
        <w:t>)</w:t>
      </w:r>
      <w:r w:rsidR="006B5EE1" w:rsidRPr="00B63B1A">
        <w:rPr>
          <w:b/>
          <w:bCs/>
        </w:rPr>
        <w:tab/>
      </w:r>
      <w:r w:rsidR="00BB4F39" w:rsidRPr="00B63B1A">
        <w:rPr>
          <w:b/>
          <w:bCs/>
        </w:rPr>
        <w:t>M</w:t>
      </w:r>
      <w:r w:rsidR="006B5EE1" w:rsidRPr="00B63B1A">
        <w:rPr>
          <w:b/>
          <w:bCs/>
        </w:rPr>
        <w:t xml:space="preserve">easures to remove barriers for persons with disabilities to choose where and with whom they live, including </w:t>
      </w:r>
      <w:r w:rsidR="002E06E2" w:rsidRPr="00B63B1A">
        <w:rPr>
          <w:b/>
          <w:bCs/>
        </w:rPr>
        <w:t>an increase</w:t>
      </w:r>
      <w:r w:rsidR="006B5EE1" w:rsidRPr="00B63B1A">
        <w:rPr>
          <w:b/>
          <w:bCs/>
        </w:rPr>
        <w:t xml:space="preserve"> </w:t>
      </w:r>
      <w:r w:rsidR="002E06E2" w:rsidRPr="00B63B1A">
        <w:rPr>
          <w:b/>
          <w:bCs/>
        </w:rPr>
        <w:t xml:space="preserve">in </w:t>
      </w:r>
      <w:r w:rsidR="006B5EE1" w:rsidRPr="00B63B1A">
        <w:rPr>
          <w:b/>
          <w:bCs/>
        </w:rPr>
        <w:t xml:space="preserve">the supply of </w:t>
      </w:r>
      <w:r w:rsidR="002E06E2" w:rsidRPr="00B63B1A">
        <w:rPr>
          <w:b/>
          <w:bCs/>
        </w:rPr>
        <w:t xml:space="preserve">safe, </w:t>
      </w:r>
      <w:proofErr w:type="gramStart"/>
      <w:r w:rsidR="006B5EE1" w:rsidRPr="00B63B1A">
        <w:rPr>
          <w:b/>
          <w:bCs/>
        </w:rPr>
        <w:t>affordable</w:t>
      </w:r>
      <w:proofErr w:type="gramEnd"/>
      <w:r w:rsidR="006B5EE1" w:rsidRPr="00B63B1A">
        <w:rPr>
          <w:b/>
          <w:bCs/>
        </w:rPr>
        <w:t xml:space="preserve"> and accessible </w:t>
      </w:r>
      <w:r w:rsidR="002E06E2" w:rsidRPr="00B63B1A">
        <w:rPr>
          <w:b/>
          <w:bCs/>
        </w:rPr>
        <w:t xml:space="preserve">community-based </w:t>
      </w:r>
      <w:r w:rsidR="006B5EE1" w:rsidRPr="00B63B1A">
        <w:rPr>
          <w:b/>
          <w:bCs/>
        </w:rPr>
        <w:t>housing</w:t>
      </w:r>
      <w:r w:rsidR="002E06E2" w:rsidRPr="00B63B1A">
        <w:rPr>
          <w:b/>
          <w:bCs/>
        </w:rPr>
        <w:t>.</w:t>
      </w:r>
      <w:r w:rsidR="006B5EE1" w:rsidRPr="00B63B1A">
        <w:rPr>
          <w:b/>
          <w:bCs/>
        </w:rPr>
        <w:t xml:space="preserve"> </w:t>
      </w:r>
    </w:p>
    <w:p w14:paraId="3D7B1C56" w14:textId="77777777" w:rsidR="006B5EE1" w:rsidRPr="00B63B1A" w:rsidRDefault="006B5EE1" w:rsidP="006B5EE1">
      <w:pPr>
        <w:pStyle w:val="H23G"/>
      </w:pPr>
      <w:r w:rsidRPr="00B63B1A">
        <w:tab/>
      </w:r>
      <w:r w:rsidRPr="00B63B1A">
        <w:tab/>
        <w:t>Personal mobility (art. 20)</w:t>
      </w:r>
    </w:p>
    <w:p w14:paraId="33F699C6" w14:textId="6D6C2F82" w:rsidR="00FA5E6C" w:rsidRPr="00B63B1A" w:rsidRDefault="006B5EE1" w:rsidP="00FA5E6C">
      <w:pPr>
        <w:pStyle w:val="SingleTxtG"/>
      </w:pPr>
      <w:r w:rsidRPr="00B63B1A">
        <w:t>45.</w:t>
      </w:r>
      <w:r w:rsidRPr="00B63B1A">
        <w:tab/>
        <w:t>The Committee is concerned</w:t>
      </w:r>
      <w:r w:rsidR="00FA5E6C" w:rsidRPr="00B63B1A">
        <w:t xml:space="preserve"> about the lack of ‘accompanying person service’ to support personal mobility, including for persons in special accommodation for older persons and in group homes and for persons who are blind. </w:t>
      </w:r>
    </w:p>
    <w:p w14:paraId="53DC801B" w14:textId="7AB1CA25" w:rsidR="00FA5E6C" w:rsidRPr="00B63B1A" w:rsidRDefault="006B5EE1" w:rsidP="00BB4F39">
      <w:pPr>
        <w:pStyle w:val="SingleTxtG"/>
        <w:rPr>
          <w:b/>
          <w:bCs/>
        </w:rPr>
      </w:pPr>
      <w:r w:rsidRPr="00B63B1A">
        <w:t>46.</w:t>
      </w:r>
      <w:r w:rsidRPr="00B63B1A">
        <w:rPr>
          <w:b/>
          <w:bCs/>
        </w:rPr>
        <w:tab/>
        <w:t>The Committee recommends that the State party</w:t>
      </w:r>
      <w:r w:rsidR="00BB4F39" w:rsidRPr="00B63B1A">
        <w:rPr>
          <w:b/>
          <w:bCs/>
        </w:rPr>
        <w:t xml:space="preserve"> </w:t>
      </w:r>
      <w:r w:rsidR="00122F25" w:rsidRPr="00B63B1A">
        <w:rPr>
          <w:b/>
          <w:bCs/>
        </w:rPr>
        <w:t>enhance</w:t>
      </w:r>
      <w:r w:rsidR="00FA5E6C" w:rsidRPr="00B63B1A">
        <w:rPr>
          <w:b/>
          <w:bCs/>
        </w:rPr>
        <w:t xml:space="preserve"> </w:t>
      </w:r>
      <w:r w:rsidR="00122F25" w:rsidRPr="00B63B1A">
        <w:rPr>
          <w:b/>
          <w:bCs/>
        </w:rPr>
        <w:t xml:space="preserve">measures to support personal mobility, including </w:t>
      </w:r>
      <w:r w:rsidR="00FA5E6C" w:rsidRPr="00B63B1A">
        <w:rPr>
          <w:b/>
          <w:bCs/>
        </w:rPr>
        <w:t xml:space="preserve">a national program for the provision of ‘accompanying person service’ to support personal mobility, </w:t>
      </w:r>
      <w:proofErr w:type="gramStart"/>
      <w:r w:rsidR="00122F25" w:rsidRPr="00B63B1A">
        <w:rPr>
          <w:b/>
          <w:bCs/>
        </w:rPr>
        <w:t xml:space="preserve">in particular </w:t>
      </w:r>
      <w:r w:rsidR="00FA5E6C" w:rsidRPr="00B63B1A">
        <w:rPr>
          <w:b/>
          <w:bCs/>
        </w:rPr>
        <w:t>for</w:t>
      </w:r>
      <w:proofErr w:type="gramEnd"/>
      <w:r w:rsidR="00FA5E6C" w:rsidRPr="00B63B1A">
        <w:rPr>
          <w:b/>
          <w:bCs/>
        </w:rPr>
        <w:t xml:space="preserve"> persons in special accommodation for older persons and in group homes and for persons who are </w:t>
      </w:r>
      <w:r w:rsidR="002C4A2E" w:rsidRPr="00B63B1A">
        <w:rPr>
          <w:b/>
          <w:bCs/>
        </w:rPr>
        <w:t>b</w:t>
      </w:r>
      <w:r w:rsidR="00FA5E6C" w:rsidRPr="00B63B1A">
        <w:rPr>
          <w:b/>
          <w:bCs/>
        </w:rPr>
        <w:t>lind</w:t>
      </w:r>
      <w:r w:rsidR="008429AF" w:rsidRPr="00B63B1A">
        <w:rPr>
          <w:b/>
          <w:bCs/>
        </w:rPr>
        <w:t>.</w:t>
      </w:r>
      <w:r w:rsidR="00FA5E6C" w:rsidRPr="00B63B1A">
        <w:rPr>
          <w:b/>
          <w:bCs/>
        </w:rPr>
        <w:t xml:space="preserve"> </w:t>
      </w:r>
    </w:p>
    <w:p w14:paraId="72FBAD9C" w14:textId="77777777" w:rsidR="006B5EE1" w:rsidRPr="00B63B1A" w:rsidRDefault="006B5EE1" w:rsidP="006B5EE1">
      <w:pPr>
        <w:pStyle w:val="H23G"/>
      </w:pPr>
      <w:r w:rsidRPr="00B63B1A">
        <w:tab/>
      </w:r>
      <w:r w:rsidRPr="00B63B1A">
        <w:tab/>
        <w:t>Freedom of expression and opinion, and access to information (art. 21)</w:t>
      </w:r>
    </w:p>
    <w:p w14:paraId="0B261B99" w14:textId="1E45EEFB" w:rsidR="00626B73" w:rsidRPr="00B63B1A" w:rsidRDefault="006B5EE1" w:rsidP="00956040">
      <w:pPr>
        <w:pStyle w:val="SingleTxtG"/>
      </w:pPr>
      <w:r w:rsidRPr="00B63B1A">
        <w:t>47.</w:t>
      </w:r>
      <w:r w:rsidRPr="00B63B1A">
        <w:tab/>
        <w:t>The Committee is concerned</w:t>
      </w:r>
      <w:r w:rsidR="00956040" w:rsidRPr="00B63B1A">
        <w:t xml:space="preserve"> a</w:t>
      </w:r>
      <w:r w:rsidR="006E4246" w:rsidRPr="00B63B1A">
        <w:t xml:space="preserve">bout shortcomings in the dissemination of government information in accessible formats, such as </w:t>
      </w:r>
      <w:r w:rsidR="006D1E94" w:rsidRPr="00B63B1A">
        <w:t xml:space="preserve">accessible information in minority languages, </w:t>
      </w:r>
      <w:r w:rsidR="006E4246" w:rsidRPr="00B63B1A">
        <w:t xml:space="preserve">Plain Swedish, sign language, Easy Read, </w:t>
      </w:r>
      <w:proofErr w:type="gramStart"/>
      <w:r w:rsidR="006E4246" w:rsidRPr="00B63B1A">
        <w:t>Braille</w:t>
      </w:r>
      <w:proofErr w:type="gramEnd"/>
      <w:r w:rsidR="006E4246" w:rsidRPr="00B63B1A">
        <w:t xml:space="preserve"> and tactile, augmentative and alternative means of communication</w:t>
      </w:r>
      <w:r w:rsidR="00956040" w:rsidRPr="00B63B1A">
        <w:t>.</w:t>
      </w:r>
    </w:p>
    <w:p w14:paraId="353B971C" w14:textId="5E468FD2" w:rsidR="00DC3270" w:rsidRPr="00B63B1A" w:rsidRDefault="006B5EE1" w:rsidP="00E30CE4">
      <w:pPr>
        <w:pStyle w:val="SingleTxtG"/>
        <w:rPr>
          <w:b/>
          <w:bCs/>
        </w:rPr>
      </w:pPr>
      <w:r w:rsidRPr="00B63B1A">
        <w:t>48.</w:t>
      </w:r>
      <w:r w:rsidRPr="00B63B1A">
        <w:rPr>
          <w:b/>
          <w:bCs/>
        </w:rPr>
        <w:tab/>
        <w:t>The Committee recommends that the State party, in close consultation and active involvement of persons with disabilities and their representative organizations, take all necessary measures, based on international and European standards, to ensure that information intended for the general public is available in accessible formats and through assistive technology for all persons with disabilities, in a timely manner and without additional costs, in particular during emergencies</w:t>
      </w:r>
      <w:r w:rsidR="00DC3270" w:rsidRPr="00B63B1A">
        <w:rPr>
          <w:b/>
          <w:bCs/>
        </w:rPr>
        <w:t>.</w:t>
      </w:r>
    </w:p>
    <w:p w14:paraId="4E7B57F3" w14:textId="77777777" w:rsidR="006B5EE1" w:rsidRPr="00B63B1A" w:rsidRDefault="006B5EE1" w:rsidP="006B5EE1">
      <w:pPr>
        <w:pStyle w:val="H23G"/>
      </w:pPr>
      <w:r w:rsidRPr="00B63B1A">
        <w:tab/>
      </w:r>
      <w:r w:rsidRPr="00B63B1A">
        <w:tab/>
        <w:t>Respect for privacy (art. 22)</w:t>
      </w:r>
    </w:p>
    <w:p w14:paraId="7A42E21D" w14:textId="4A762B9C" w:rsidR="00DC3270" w:rsidRPr="00B63B1A" w:rsidRDefault="006B5EE1" w:rsidP="001111DB">
      <w:pPr>
        <w:pStyle w:val="SingleTxtG"/>
      </w:pPr>
      <w:r w:rsidRPr="00B63B1A">
        <w:t>49.</w:t>
      </w:r>
      <w:r w:rsidRPr="00B63B1A">
        <w:tab/>
        <w:t>The Committee is concerned about the lack of comprehensive measures ensuring data protection and the right to privacy concerning the personal, medical and rehabilitation information of persons with disabilities</w:t>
      </w:r>
      <w:r w:rsidR="001111DB" w:rsidRPr="00B63B1A">
        <w:t xml:space="preserve">, in particular </w:t>
      </w:r>
      <w:proofErr w:type="gramStart"/>
      <w:r w:rsidR="001111DB" w:rsidRPr="00B63B1A">
        <w:t>with regard to</w:t>
      </w:r>
      <w:proofErr w:type="gramEnd"/>
      <w:r w:rsidR="001111DB" w:rsidRPr="00B63B1A">
        <w:t xml:space="preserve"> </w:t>
      </w:r>
      <w:r w:rsidR="00DC3270" w:rsidRPr="00B63B1A">
        <w:t>assessments of needs for services</w:t>
      </w:r>
      <w:r w:rsidR="001111DB" w:rsidRPr="00B63B1A">
        <w:t>,</w:t>
      </w:r>
      <w:r w:rsidR="00DC3270" w:rsidRPr="00B63B1A">
        <w:t xml:space="preserve"> including personal assistance.</w:t>
      </w:r>
    </w:p>
    <w:p w14:paraId="62ED95E5" w14:textId="3273D9A9" w:rsidR="006B5EE1" w:rsidRPr="00B63B1A" w:rsidRDefault="006B5EE1" w:rsidP="006B5EE1">
      <w:pPr>
        <w:pStyle w:val="SingleTxtG"/>
        <w:rPr>
          <w:b/>
          <w:bCs/>
        </w:rPr>
      </w:pPr>
      <w:r w:rsidRPr="00B63B1A">
        <w:t>50.</w:t>
      </w:r>
      <w:r w:rsidRPr="00B63B1A">
        <w:rPr>
          <w:b/>
          <w:bCs/>
        </w:rPr>
        <w:tab/>
        <w:t xml:space="preserve">The Committee recommends that the State party adopt all necessary measures, including the revision of data protection laws, to ensure data protection and the right to privacy, and set up data protection protocols and secure systems to guarantee the privacy of the personal, health and rehabilitation information of persons with disabilities, on an equal basis with others. </w:t>
      </w:r>
    </w:p>
    <w:p w14:paraId="4F9C6F65" w14:textId="77777777" w:rsidR="006B5EE1" w:rsidRPr="00B63B1A" w:rsidRDefault="006B5EE1" w:rsidP="006B5EE1">
      <w:pPr>
        <w:pStyle w:val="H23G"/>
      </w:pPr>
      <w:r w:rsidRPr="00B63B1A">
        <w:tab/>
      </w:r>
      <w:r w:rsidRPr="00B63B1A">
        <w:tab/>
        <w:t>Respect for home and the family (art. 23)</w:t>
      </w:r>
    </w:p>
    <w:p w14:paraId="2481D727" w14:textId="7B3CA0B2" w:rsidR="00DC3270" w:rsidRPr="00B63B1A" w:rsidRDefault="006B5EE1" w:rsidP="006B5EE1">
      <w:pPr>
        <w:pStyle w:val="SingleTxtG"/>
      </w:pPr>
      <w:r w:rsidRPr="00B63B1A">
        <w:t>51.</w:t>
      </w:r>
      <w:r w:rsidRPr="00B63B1A">
        <w:tab/>
        <w:t>The Committee is concerned</w:t>
      </w:r>
      <w:r w:rsidR="00DC3270" w:rsidRPr="00B63B1A">
        <w:t>:</w:t>
      </w:r>
    </w:p>
    <w:p w14:paraId="4F6CFAA0" w14:textId="53607682" w:rsidR="00DC3270" w:rsidRPr="00B63B1A" w:rsidRDefault="00DC3270" w:rsidP="00DC3270">
      <w:pPr>
        <w:pStyle w:val="SingleTxtG"/>
        <w:ind w:firstLine="567"/>
      </w:pPr>
      <w:r w:rsidRPr="00B63B1A">
        <w:lastRenderedPageBreak/>
        <w:t>(a)</w:t>
      </w:r>
      <w:r w:rsidRPr="00B63B1A">
        <w:tab/>
        <w:t xml:space="preserve">About the lack of resources and adequate support mechanisms from the </w:t>
      </w:r>
      <w:r w:rsidR="00EF348D" w:rsidRPr="00B63B1A">
        <w:t>municipal</w:t>
      </w:r>
      <w:r w:rsidRPr="00B63B1A">
        <w:t xml:space="preserve"> authorities </w:t>
      </w:r>
      <w:r w:rsidR="00EF348D" w:rsidRPr="00B63B1A">
        <w:t>to support</w:t>
      </w:r>
      <w:r w:rsidRPr="00B63B1A">
        <w:t xml:space="preserve"> parents with disabilities and families </w:t>
      </w:r>
      <w:r w:rsidR="00EF348D" w:rsidRPr="00B63B1A">
        <w:t>with</w:t>
      </w:r>
      <w:r w:rsidRPr="00B63B1A">
        <w:t xml:space="preserve"> children with disabilities.</w:t>
      </w:r>
    </w:p>
    <w:p w14:paraId="69802648" w14:textId="6C7A6905" w:rsidR="00EF348D" w:rsidRPr="00B63B1A" w:rsidRDefault="00DC3270" w:rsidP="00EF348D">
      <w:pPr>
        <w:pStyle w:val="SingleTxtG"/>
        <w:ind w:firstLine="567"/>
      </w:pPr>
      <w:r w:rsidRPr="00B63B1A">
        <w:t>(b)</w:t>
      </w:r>
      <w:r w:rsidRPr="00B63B1A">
        <w:tab/>
      </w:r>
      <w:r w:rsidR="00EF348D" w:rsidRPr="00B63B1A">
        <w:t>About the discrimination of persons with disabilities during family reunification procedure, as the right to family unification is conditional on detailed income and housing requirements.</w:t>
      </w:r>
    </w:p>
    <w:p w14:paraId="25A8D31D" w14:textId="56395468" w:rsidR="00DC3270" w:rsidRPr="00B63B1A" w:rsidRDefault="006B5EE1" w:rsidP="006B5EE1">
      <w:pPr>
        <w:pStyle w:val="SingleTxtG"/>
        <w:rPr>
          <w:b/>
          <w:bCs/>
        </w:rPr>
      </w:pPr>
      <w:r w:rsidRPr="00B63B1A">
        <w:t>52.</w:t>
      </w:r>
      <w:r w:rsidRPr="00B63B1A">
        <w:rPr>
          <w:b/>
          <w:bCs/>
        </w:rPr>
        <w:tab/>
        <w:t>The Committee recommends that the State party</w:t>
      </w:r>
      <w:r w:rsidR="00EF5EE7" w:rsidRPr="00B63B1A">
        <w:rPr>
          <w:b/>
          <w:bCs/>
        </w:rPr>
        <w:t>,</w:t>
      </w:r>
      <w:r w:rsidR="00EF5EE7" w:rsidRPr="00B63B1A">
        <w:t xml:space="preserve"> </w:t>
      </w:r>
      <w:r w:rsidR="00EF5EE7" w:rsidRPr="00B63B1A">
        <w:rPr>
          <w:b/>
          <w:bCs/>
        </w:rPr>
        <w:t>in close consultation and active involvement of persons with disabilities and their representative organizations</w:t>
      </w:r>
      <w:r w:rsidR="00DC3270" w:rsidRPr="00B63B1A">
        <w:rPr>
          <w:b/>
          <w:bCs/>
        </w:rPr>
        <w:t>:</w:t>
      </w:r>
      <w:r w:rsidRPr="00B63B1A">
        <w:rPr>
          <w:b/>
          <w:bCs/>
        </w:rPr>
        <w:t xml:space="preserve"> </w:t>
      </w:r>
    </w:p>
    <w:p w14:paraId="27F0DA8A" w14:textId="1E1140E2" w:rsidR="00DC3270" w:rsidRPr="00B63B1A" w:rsidRDefault="00EF5EE7" w:rsidP="00EF5EE7">
      <w:pPr>
        <w:pStyle w:val="SingleTxtG"/>
        <w:ind w:firstLine="567"/>
        <w:rPr>
          <w:b/>
          <w:bCs/>
        </w:rPr>
      </w:pPr>
      <w:r w:rsidRPr="00B63B1A">
        <w:rPr>
          <w:b/>
          <w:bCs/>
        </w:rPr>
        <w:t>(a)</w:t>
      </w:r>
      <w:r w:rsidRPr="00B63B1A">
        <w:rPr>
          <w:b/>
          <w:bCs/>
        </w:rPr>
        <w:tab/>
        <w:t>Ensure</w:t>
      </w:r>
      <w:r w:rsidR="00DC3270" w:rsidRPr="00B63B1A">
        <w:rPr>
          <w:b/>
          <w:bCs/>
        </w:rPr>
        <w:t xml:space="preserve"> the realization of the right to family life, to support parents with disabilities, to support parents of children with disabilities and to eradicate prejudices among the service providers in the municipal authorities</w:t>
      </w:r>
      <w:r w:rsidRPr="00B63B1A">
        <w:rPr>
          <w:b/>
          <w:bCs/>
        </w:rPr>
        <w:t xml:space="preserve">, particularly </w:t>
      </w:r>
      <w:r w:rsidR="00DC3270" w:rsidRPr="00B63B1A">
        <w:rPr>
          <w:b/>
          <w:bCs/>
        </w:rPr>
        <w:t xml:space="preserve">in remote </w:t>
      </w:r>
      <w:proofErr w:type="gramStart"/>
      <w:r w:rsidR="00DC3270" w:rsidRPr="00B63B1A">
        <w:rPr>
          <w:b/>
          <w:bCs/>
        </w:rPr>
        <w:t>areas</w:t>
      </w:r>
      <w:r w:rsidRPr="00B63B1A">
        <w:rPr>
          <w:b/>
          <w:bCs/>
        </w:rPr>
        <w:t>;</w:t>
      </w:r>
      <w:proofErr w:type="gramEnd"/>
    </w:p>
    <w:p w14:paraId="56E0AF8B" w14:textId="3E95B027" w:rsidR="00EF5EE7" w:rsidRPr="00B63B1A" w:rsidRDefault="00EF5EE7" w:rsidP="00EF5EE7">
      <w:pPr>
        <w:pStyle w:val="SingleTxtG"/>
        <w:ind w:firstLine="567"/>
        <w:rPr>
          <w:b/>
          <w:bCs/>
        </w:rPr>
      </w:pPr>
      <w:r w:rsidRPr="00B63B1A">
        <w:rPr>
          <w:b/>
          <w:bCs/>
        </w:rPr>
        <w:t>(b)</w:t>
      </w:r>
      <w:r w:rsidRPr="00B63B1A">
        <w:rPr>
          <w:b/>
          <w:bCs/>
        </w:rPr>
        <w:tab/>
        <w:t>Review the rules on family reunification to ensure that persons with disabilities are not disadvantaged by the maintenance requirement.</w:t>
      </w:r>
    </w:p>
    <w:p w14:paraId="4E257582" w14:textId="77777777" w:rsidR="006B5EE1" w:rsidRPr="00B63B1A" w:rsidRDefault="006B5EE1" w:rsidP="006B5EE1">
      <w:pPr>
        <w:pStyle w:val="H23G"/>
      </w:pPr>
      <w:r w:rsidRPr="00B63B1A">
        <w:tab/>
      </w:r>
      <w:r w:rsidRPr="00B63B1A">
        <w:tab/>
        <w:t>Education (art. 24)</w:t>
      </w:r>
    </w:p>
    <w:p w14:paraId="327599E6" w14:textId="6EC4BCD3" w:rsidR="00B200ED" w:rsidRPr="00B63B1A" w:rsidRDefault="006B5EE1" w:rsidP="006B5EE1">
      <w:pPr>
        <w:pStyle w:val="SingleTxtG"/>
      </w:pPr>
      <w:r w:rsidRPr="00B63B1A">
        <w:t>53.</w:t>
      </w:r>
      <w:r w:rsidRPr="00B63B1A">
        <w:tab/>
        <w:t>The Committee is concerned</w:t>
      </w:r>
      <w:r w:rsidR="00B200ED" w:rsidRPr="00B63B1A">
        <w:t>:</w:t>
      </w:r>
    </w:p>
    <w:p w14:paraId="37112C54" w14:textId="2D3FD58D" w:rsidR="00B200ED" w:rsidRPr="00B63B1A" w:rsidRDefault="00B200ED" w:rsidP="00B200ED">
      <w:pPr>
        <w:pStyle w:val="SingleTxtG"/>
        <w:ind w:firstLine="567"/>
      </w:pPr>
      <w:r w:rsidRPr="00B63B1A">
        <w:t>(a)</w:t>
      </w:r>
      <w:r w:rsidRPr="00B63B1A">
        <w:tab/>
        <w:t xml:space="preserve">At the </w:t>
      </w:r>
      <w:r w:rsidR="002D75D3" w:rsidRPr="00B63B1A">
        <w:t xml:space="preserve">increase of segregation measures in education, as well as the </w:t>
      </w:r>
      <w:r w:rsidRPr="00B63B1A">
        <w:t xml:space="preserve">lack of a clear mechanism to monitor and </w:t>
      </w:r>
      <w:r w:rsidR="00457281" w:rsidRPr="00B63B1A">
        <w:t xml:space="preserve">implement </w:t>
      </w:r>
      <w:r w:rsidRPr="00B63B1A">
        <w:t xml:space="preserve">inclusive </w:t>
      </w:r>
      <w:proofErr w:type="gramStart"/>
      <w:r w:rsidRPr="00B63B1A">
        <w:t>education</w:t>
      </w:r>
      <w:r w:rsidR="002D75D3" w:rsidRPr="00B63B1A">
        <w:t>;</w:t>
      </w:r>
      <w:proofErr w:type="gramEnd"/>
      <w:r w:rsidR="002D75D3" w:rsidRPr="00B63B1A">
        <w:t xml:space="preserve"> </w:t>
      </w:r>
    </w:p>
    <w:p w14:paraId="4815FCDB" w14:textId="0D5D1AC7" w:rsidR="00B200ED" w:rsidRPr="00B63B1A" w:rsidRDefault="002D75D3" w:rsidP="002D75D3">
      <w:pPr>
        <w:pStyle w:val="SingleTxtG"/>
        <w:ind w:firstLine="567"/>
      </w:pPr>
      <w:r w:rsidRPr="00B63B1A">
        <w:t>(b)</w:t>
      </w:r>
      <w:r w:rsidRPr="00B63B1A">
        <w:tab/>
      </w:r>
      <w:r w:rsidR="008429AF" w:rsidRPr="00B63B1A">
        <w:t xml:space="preserve">That </w:t>
      </w:r>
      <w:r w:rsidRPr="00B63B1A">
        <w:t xml:space="preserve">the choice for professional and vocational education is restricted and limited only to segregated </w:t>
      </w:r>
      <w:proofErr w:type="gramStart"/>
      <w:r w:rsidRPr="00B63B1A">
        <w:t>structures;</w:t>
      </w:r>
      <w:proofErr w:type="gramEnd"/>
      <w:r w:rsidRPr="00B63B1A">
        <w:t xml:space="preserve"> </w:t>
      </w:r>
    </w:p>
    <w:p w14:paraId="2CD65C12" w14:textId="60BD67CA" w:rsidR="006B5EE1" w:rsidRPr="00B63B1A" w:rsidRDefault="002D75D3" w:rsidP="00D3694D">
      <w:pPr>
        <w:pStyle w:val="SingleTxtG"/>
        <w:ind w:firstLine="567"/>
      </w:pPr>
      <w:r w:rsidRPr="00B63B1A">
        <w:t>(c)</w:t>
      </w:r>
      <w:r w:rsidRPr="00B63B1A">
        <w:tab/>
        <w:t xml:space="preserve">At the decrease in </w:t>
      </w:r>
      <w:r w:rsidR="00B200ED" w:rsidRPr="00B63B1A">
        <w:t>allocat</w:t>
      </w:r>
      <w:r w:rsidRPr="00B63B1A">
        <w:t>ion of resources</w:t>
      </w:r>
      <w:r w:rsidR="00B200ED" w:rsidRPr="00B63B1A">
        <w:t xml:space="preserve"> </w:t>
      </w:r>
      <w:r w:rsidR="00D3694D" w:rsidRPr="00B63B1A">
        <w:t xml:space="preserve">for provision of reasonable accommodation in education, such as personal assistance and support services for students with </w:t>
      </w:r>
      <w:proofErr w:type="gramStart"/>
      <w:r w:rsidR="00D3694D" w:rsidRPr="00B63B1A">
        <w:t>disabilities</w:t>
      </w:r>
      <w:r w:rsidR="00DF79F4" w:rsidRPr="00B63B1A">
        <w:t>;</w:t>
      </w:r>
      <w:proofErr w:type="gramEnd"/>
    </w:p>
    <w:p w14:paraId="3696FA07" w14:textId="7CD02C64" w:rsidR="006B5EE1" w:rsidRPr="00B63B1A" w:rsidRDefault="00D3694D" w:rsidP="001B4958">
      <w:pPr>
        <w:pStyle w:val="SingleTxtG"/>
        <w:ind w:firstLine="567"/>
      </w:pPr>
      <w:r w:rsidRPr="00B63B1A">
        <w:tab/>
      </w:r>
      <w:r w:rsidR="006B5EE1" w:rsidRPr="00B63B1A">
        <w:t>(d)</w:t>
      </w:r>
      <w:r w:rsidR="006B5EE1" w:rsidRPr="00B63B1A">
        <w:tab/>
      </w:r>
      <w:r w:rsidR="00061899" w:rsidRPr="00B63B1A">
        <w:t>At the i</w:t>
      </w:r>
      <w:r w:rsidR="006B5EE1" w:rsidRPr="00B63B1A">
        <w:t xml:space="preserve">nsufficient training for teachers and non-teaching staff on the right to inclusive education, </w:t>
      </w:r>
      <w:r w:rsidR="00061899" w:rsidRPr="00B63B1A">
        <w:t xml:space="preserve">and </w:t>
      </w:r>
      <w:r w:rsidR="006B5EE1" w:rsidRPr="00B63B1A">
        <w:t>the insufficient development of specific skills and teaching methodologies.</w:t>
      </w:r>
    </w:p>
    <w:p w14:paraId="5902B010" w14:textId="765BC04C" w:rsidR="006B5EE1" w:rsidRPr="00B63B1A" w:rsidRDefault="006B5EE1" w:rsidP="006B5EE1">
      <w:pPr>
        <w:pStyle w:val="SingleTxtG"/>
        <w:rPr>
          <w:b/>
          <w:bCs/>
        </w:rPr>
      </w:pPr>
      <w:r w:rsidRPr="00B63B1A">
        <w:t>54.</w:t>
      </w:r>
      <w:r w:rsidRPr="00B63B1A">
        <w:rPr>
          <w:b/>
          <w:bCs/>
        </w:rPr>
        <w:tab/>
        <w:t>Recalling its general comment No. 4 (2016)</w:t>
      </w:r>
      <w:r w:rsidR="00906FD4" w:rsidRPr="00B63B1A">
        <w:rPr>
          <w:b/>
          <w:bCs/>
        </w:rPr>
        <w:t xml:space="preserve"> on the right to inclusive education and the Sustainable Development Goal 4, target 4.5 and indicator 4(a)</w:t>
      </w:r>
      <w:r w:rsidRPr="00B63B1A">
        <w:rPr>
          <w:b/>
          <w:bCs/>
        </w:rPr>
        <w:t xml:space="preserve">, the Committee recommends that the State party, in close consultation and active involvement of </w:t>
      </w:r>
      <w:r w:rsidR="00E63048" w:rsidRPr="00B63B1A">
        <w:rPr>
          <w:b/>
          <w:bCs/>
        </w:rPr>
        <w:t xml:space="preserve">organisations of persons with disabilities, </w:t>
      </w:r>
      <w:r w:rsidR="00457281" w:rsidRPr="00B63B1A">
        <w:rPr>
          <w:b/>
          <w:bCs/>
        </w:rPr>
        <w:t xml:space="preserve">learners </w:t>
      </w:r>
      <w:r w:rsidRPr="00B63B1A">
        <w:rPr>
          <w:b/>
          <w:bCs/>
        </w:rPr>
        <w:t>with disabilities</w:t>
      </w:r>
      <w:r w:rsidR="00E63048" w:rsidRPr="00B63B1A">
        <w:rPr>
          <w:b/>
          <w:bCs/>
        </w:rPr>
        <w:t xml:space="preserve"> and</w:t>
      </w:r>
      <w:r w:rsidR="00DC25BD" w:rsidRPr="00B63B1A">
        <w:rPr>
          <w:b/>
          <w:bCs/>
        </w:rPr>
        <w:t xml:space="preserve"> </w:t>
      </w:r>
      <w:r w:rsidRPr="00B63B1A">
        <w:rPr>
          <w:b/>
          <w:bCs/>
        </w:rPr>
        <w:t>their families:</w:t>
      </w:r>
    </w:p>
    <w:p w14:paraId="04743CE8" w14:textId="1AC5FC64" w:rsidR="00457281" w:rsidRPr="00B63B1A" w:rsidRDefault="00DF79F4" w:rsidP="001B4958">
      <w:pPr>
        <w:pStyle w:val="SingleTxtG"/>
        <w:ind w:firstLine="567"/>
        <w:rPr>
          <w:b/>
          <w:bCs/>
        </w:rPr>
      </w:pPr>
      <w:r w:rsidRPr="00B63B1A">
        <w:rPr>
          <w:b/>
          <w:bCs/>
        </w:rPr>
        <w:tab/>
      </w:r>
      <w:r w:rsidR="006B5EE1" w:rsidRPr="00B63B1A">
        <w:rPr>
          <w:b/>
          <w:bCs/>
        </w:rPr>
        <w:t>(a)</w:t>
      </w:r>
      <w:r w:rsidR="006B5EE1" w:rsidRPr="00B63B1A">
        <w:rPr>
          <w:b/>
          <w:bCs/>
        </w:rPr>
        <w:tab/>
      </w:r>
      <w:r w:rsidR="00457281" w:rsidRPr="00B63B1A">
        <w:rPr>
          <w:b/>
          <w:bCs/>
        </w:rPr>
        <w:t xml:space="preserve">Develop a national inclusive education strategy to transition from segregated education to inclusive education, and establish a mechanism to monitor and enforce the implementation of national legislation on inclusive </w:t>
      </w:r>
      <w:proofErr w:type="gramStart"/>
      <w:r w:rsidR="00457281" w:rsidRPr="00B63B1A">
        <w:rPr>
          <w:b/>
          <w:bCs/>
        </w:rPr>
        <w:t>education;</w:t>
      </w:r>
      <w:proofErr w:type="gramEnd"/>
    </w:p>
    <w:p w14:paraId="1F9D36CE" w14:textId="1CB8113D" w:rsidR="00DF79F4" w:rsidRPr="00B63B1A" w:rsidRDefault="00DF79F4" w:rsidP="001B4958">
      <w:pPr>
        <w:pStyle w:val="SingleTxtG"/>
        <w:ind w:firstLine="567"/>
        <w:rPr>
          <w:b/>
          <w:bCs/>
        </w:rPr>
      </w:pPr>
      <w:r w:rsidRPr="00B63B1A">
        <w:rPr>
          <w:b/>
          <w:bCs/>
        </w:rPr>
        <w:tab/>
        <w:t>(b)</w:t>
      </w:r>
      <w:r w:rsidRPr="00B63B1A">
        <w:rPr>
          <w:b/>
          <w:bCs/>
        </w:rPr>
        <w:tab/>
        <w:t xml:space="preserve">Ensure that children with disabilities can attend mainstream schools, including by enhancing accessibility and </w:t>
      </w:r>
      <w:r w:rsidR="0010289A" w:rsidRPr="00B63B1A">
        <w:rPr>
          <w:b/>
          <w:bCs/>
        </w:rPr>
        <w:t xml:space="preserve">reasonable </w:t>
      </w:r>
      <w:r w:rsidRPr="00B63B1A">
        <w:rPr>
          <w:b/>
          <w:bCs/>
        </w:rPr>
        <w:t xml:space="preserve">accommodation for all kinds of disabilities and providing appropriate arrangements for transportation, in particular in </w:t>
      </w:r>
      <w:r w:rsidR="008D1F0C" w:rsidRPr="00B63B1A">
        <w:rPr>
          <w:b/>
          <w:bCs/>
        </w:rPr>
        <w:t>remote</w:t>
      </w:r>
      <w:r w:rsidRPr="00B63B1A">
        <w:rPr>
          <w:b/>
          <w:bCs/>
        </w:rPr>
        <w:t xml:space="preserve"> </w:t>
      </w:r>
      <w:proofErr w:type="gramStart"/>
      <w:r w:rsidRPr="00B63B1A">
        <w:rPr>
          <w:b/>
          <w:bCs/>
        </w:rPr>
        <w:t>areas;</w:t>
      </w:r>
      <w:proofErr w:type="gramEnd"/>
    </w:p>
    <w:p w14:paraId="65ADC1F4" w14:textId="046D5489" w:rsidR="006B5EE1" w:rsidRPr="00B63B1A" w:rsidRDefault="00DF79F4" w:rsidP="001B4958">
      <w:pPr>
        <w:pStyle w:val="SingleTxtG"/>
        <w:ind w:firstLine="567"/>
        <w:rPr>
          <w:b/>
          <w:bCs/>
        </w:rPr>
      </w:pPr>
      <w:r w:rsidRPr="00B63B1A">
        <w:rPr>
          <w:b/>
          <w:bCs/>
        </w:rPr>
        <w:tab/>
      </w:r>
      <w:r w:rsidR="006B5EE1" w:rsidRPr="00B63B1A">
        <w:rPr>
          <w:b/>
          <w:bCs/>
        </w:rPr>
        <w:t>(</w:t>
      </w:r>
      <w:r w:rsidRPr="00B63B1A">
        <w:rPr>
          <w:b/>
          <w:bCs/>
        </w:rPr>
        <w:t>c</w:t>
      </w:r>
      <w:r w:rsidR="006B5EE1" w:rsidRPr="00B63B1A">
        <w:rPr>
          <w:b/>
          <w:bCs/>
        </w:rPr>
        <w:t>)</w:t>
      </w:r>
      <w:r w:rsidR="006B5EE1" w:rsidRPr="00B63B1A">
        <w:rPr>
          <w:b/>
          <w:bCs/>
        </w:rPr>
        <w:tab/>
      </w:r>
      <w:r w:rsidR="008D1F0C" w:rsidRPr="00B63B1A">
        <w:rPr>
          <w:b/>
          <w:bCs/>
        </w:rPr>
        <w:t xml:space="preserve">Provide </w:t>
      </w:r>
      <w:r w:rsidR="00906FD4" w:rsidRPr="00B63B1A">
        <w:rPr>
          <w:b/>
          <w:bCs/>
        </w:rPr>
        <w:t xml:space="preserve">students with disabilities with assistive compensatory aids and learning materials in alternative and accessible formats, such as inclusive digital access, modes and means of communication, including Easy Read, communication aids and assistive and information technology and ensure that there are enough teachers fluent in Swedish Sign </w:t>
      </w:r>
      <w:proofErr w:type="gramStart"/>
      <w:r w:rsidR="00906FD4" w:rsidRPr="00B63B1A">
        <w:rPr>
          <w:b/>
          <w:bCs/>
        </w:rPr>
        <w:t>language</w:t>
      </w:r>
      <w:r w:rsidR="006B5EE1" w:rsidRPr="00B63B1A">
        <w:rPr>
          <w:b/>
          <w:bCs/>
        </w:rPr>
        <w:t>;</w:t>
      </w:r>
      <w:proofErr w:type="gramEnd"/>
    </w:p>
    <w:p w14:paraId="713EE2BF" w14:textId="563D33B6" w:rsidR="006B5EE1" w:rsidRPr="00B63B1A" w:rsidRDefault="00906FD4" w:rsidP="001B4958">
      <w:pPr>
        <w:pStyle w:val="SingleTxtG"/>
        <w:ind w:firstLine="567"/>
        <w:rPr>
          <w:b/>
          <w:bCs/>
        </w:rPr>
      </w:pPr>
      <w:r w:rsidRPr="00B63B1A">
        <w:rPr>
          <w:b/>
          <w:bCs/>
        </w:rPr>
        <w:tab/>
      </w:r>
      <w:r w:rsidR="006B5EE1" w:rsidRPr="00B63B1A">
        <w:rPr>
          <w:b/>
          <w:bCs/>
        </w:rPr>
        <w:t>(d)</w:t>
      </w:r>
      <w:r w:rsidR="006B5EE1" w:rsidRPr="00B63B1A">
        <w:rPr>
          <w:b/>
          <w:bCs/>
        </w:rPr>
        <w:tab/>
        <w:t xml:space="preserve">Guarantee ongoing training for teachers and non-teaching staff on inclusive education at all levels, including training in sign language and other accessible formats of communication, and develop a monitoring system to eliminate all forms of direct and indirect discrimination against children with disabilities and their </w:t>
      </w:r>
      <w:proofErr w:type="gramStart"/>
      <w:r w:rsidR="006B5EE1" w:rsidRPr="00B63B1A">
        <w:rPr>
          <w:b/>
          <w:bCs/>
        </w:rPr>
        <w:t>families</w:t>
      </w:r>
      <w:r w:rsidR="007A7375" w:rsidRPr="00B63B1A">
        <w:rPr>
          <w:b/>
          <w:bCs/>
        </w:rPr>
        <w:t>;</w:t>
      </w:r>
      <w:proofErr w:type="gramEnd"/>
      <w:r w:rsidR="007A7375" w:rsidRPr="00B63B1A">
        <w:rPr>
          <w:b/>
          <w:bCs/>
        </w:rPr>
        <w:t xml:space="preserve"> </w:t>
      </w:r>
    </w:p>
    <w:p w14:paraId="354E132A" w14:textId="3C80C17D" w:rsidR="007A7375" w:rsidRPr="00B63B1A" w:rsidRDefault="007A7375" w:rsidP="001B4958">
      <w:pPr>
        <w:pStyle w:val="SingleTxtG"/>
        <w:ind w:firstLine="567"/>
        <w:rPr>
          <w:b/>
          <w:bCs/>
        </w:rPr>
      </w:pPr>
      <w:r w:rsidRPr="00B63B1A">
        <w:rPr>
          <w:b/>
          <w:bCs/>
        </w:rPr>
        <w:tab/>
        <w:t>(e)</w:t>
      </w:r>
      <w:r w:rsidRPr="00B63B1A">
        <w:rPr>
          <w:b/>
          <w:bCs/>
        </w:rPr>
        <w:tab/>
        <w:t xml:space="preserve">Allocate </w:t>
      </w:r>
      <w:r w:rsidR="006E21EA" w:rsidRPr="00B63B1A">
        <w:rPr>
          <w:b/>
          <w:bCs/>
        </w:rPr>
        <w:t>further</w:t>
      </w:r>
      <w:r w:rsidRPr="00B63B1A">
        <w:rPr>
          <w:b/>
          <w:bCs/>
        </w:rPr>
        <w:t xml:space="preserve"> resources to provide reasonable accommodation and dedicated assistance programs in higher education institutions, including professional training for students with all types of disabilities.</w:t>
      </w:r>
    </w:p>
    <w:p w14:paraId="554670DA" w14:textId="77777777" w:rsidR="006B5EE1" w:rsidRPr="00B63B1A" w:rsidRDefault="006B5EE1" w:rsidP="006B5EE1">
      <w:pPr>
        <w:pStyle w:val="H23G"/>
      </w:pPr>
      <w:r w:rsidRPr="00B63B1A">
        <w:lastRenderedPageBreak/>
        <w:tab/>
      </w:r>
      <w:r w:rsidRPr="00B63B1A">
        <w:tab/>
        <w:t>Health (art. 25)</w:t>
      </w:r>
    </w:p>
    <w:p w14:paraId="0A643064" w14:textId="14C32743" w:rsidR="006B5EE1" w:rsidRPr="00B63B1A" w:rsidRDefault="006B5EE1" w:rsidP="006B5EE1">
      <w:pPr>
        <w:pStyle w:val="SingleTxtG"/>
      </w:pPr>
      <w:r w:rsidRPr="00B63B1A">
        <w:t>5</w:t>
      </w:r>
      <w:r w:rsidR="00EC12F7" w:rsidRPr="00B63B1A">
        <w:t>5</w:t>
      </w:r>
      <w:r w:rsidRPr="00B63B1A">
        <w:t>.</w:t>
      </w:r>
      <w:r w:rsidRPr="00B63B1A">
        <w:tab/>
        <w:t>The Committee is concerned:</w:t>
      </w:r>
    </w:p>
    <w:p w14:paraId="6EAD36D8" w14:textId="59BA1520" w:rsidR="002E3177" w:rsidRPr="00B63B1A" w:rsidRDefault="002E3177" w:rsidP="001B4958">
      <w:pPr>
        <w:pStyle w:val="SingleTxtG"/>
        <w:ind w:firstLine="567"/>
      </w:pPr>
      <w:r w:rsidRPr="00B63B1A">
        <w:tab/>
      </w:r>
      <w:r w:rsidR="006B5EE1" w:rsidRPr="00B63B1A">
        <w:t>(a)</w:t>
      </w:r>
      <w:r w:rsidR="006B5EE1" w:rsidRPr="00B63B1A">
        <w:tab/>
      </w:r>
      <w:r w:rsidR="00B14302" w:rsidRPr="00B63B1A">
        <w:t>That compared to the general population, persons with disabilities, in particular persons with intellectual and/or psychosocial disabilities, persons with disabilities living in remote areas, persons with disabilities living in institutions and children and women with disabilities, are in significantly poorer health</w:t>
      </w:r>
      <w:r w:rsidR="00133FE4" w:rsidRPr="00B63B1A">
        <w:t xml:space="preserve">, have higher rates of mortality and suicides, and face barriers in accessing health services, including sexual and reproductive health, dental care, information and equipment;  </w:t>
      </w:r>
    </w:p>
    <w:p w14:paraId="4C32EC7F" w14:textId="26CF1240" w:rsidR="00133FE4" w:rsidRPr="00B63B1A" w:rsidRDefault="00133FE4" w:rsidP="001B4958">
      <w:pPr>
        <w:pStyle w:val="SingleTxtG"/>
        <w:ind w:firstLine="567"/>
      </w:pPr>
      <w:r w:rsidRPr="00B63B1A">
        <w:tab/>
        <w:t>(b)</w:t>
      </w:r>
      <w:r w:rsidRPr="00B63B1A">
        <w:tab/>
      </w:r>
      <w:r w:rsidR="009D71CA" w:rsidRPr="00B63B1A">
        <w:t xml:space="preserve">About a gradual return to a medical approach to disability, and the lack of measures taken to ensure that individual needs, </w:t>
      </w:r>
      <w:proofErr w:type="gramStart"/>
      <w:r w:rsidR="009D71CA" w:rsidRPr="00B63B1A">
        <w:t>preferences</w:t>
      </w:r>
      <w:proofErr w:type="gramEnd"/>
      <w:r w:rsidR="009D71CA" w:rsidRPr="00B63B1A">
        <w:t xml:space="preserve"> and self-determination are respected.</w:t>
      </w:r>
    </w:p>
    <w:p w14:paraId="5F6D8D24" w14:textId="4BC69401" w:rsidR="006B5EE1" w:rsidRPr="00B63B1A" w:rsidRDefault="006B5EE1" w:rsidP="006B5EE1">
      <w:pPr>
        <w:pStyle w:val="SingleTxtG"/>
        <w:rPr>
          <w:b/>
          <w:bCs/>
        </w:rPr>
      </w:pPr>
      <w:r w:rsidRPr="00B63B1A">
        <w:t>5</w:t>
      </w:r>
      <w:r w:rsidR="00EC12F7" w:rsidRPr="00B63B1A">
        <w:t>6</w:t>
      </w:r>
      <w:r w:rsidRPr="00B63B1A">
        <w:t>.</w:t>
      </w:r>
      <w:r w:rsidRPr="00B63B1A">
        <w:rPr>
          <w:b/>
          <w:bCs/>
        </w:rPr>
        <w:tab/>
      </w:r>
      <w:r w:rsidR="00E11913" w:rsidRPr="00B63B1A">
        <w:rPr>
          <w:b/>
          <w:bCs/>
        </w:rPr>
        <w:t>Recalling the link between article 25 of the Convention and targets 3.7 and 3.8 of the Sustainable Development Goals, th</w:t>
      </w:r>
      <w:r w:rsidRPr="00B63B1A">
        <w:rPr>
          <w:b/>
          <w:bCs/>
        </w:rPr>
        <w:t>e Committee recommends that the State party:</w:t>
      </w:r>
    </w:p>
    <w:p w14:paraId="08CC74D9" w14:textId="41B22392" w:rsidR="006B5EE1" w:rsidRPr="00B63B1A" w:rsidRDefault="00683932" w:rsidP="001B4958">
      <w:pPr>
        <w:pStyle w:val="SingleTxtG"/>
        <w:ind w:firstLine="567"/>
        <w:rPr>
          <w:b/>
          <w:bCs/>
        </w:rPr>
      </w:pPr>
      <w:r w:rsidRPr="00B63B1A">
        <w:rPr>
          <w:b/>
          <w:bCs/>
        </w:rPr>
        <w:tab/>
      </w:r>
      <w:r w:rsidR="006B5EE1" w:rsidRPr="00B63B1A">
        <w:rPr>
          <w:b/>
          <w:bCs/>
        </w:rPr>
        <w:t>(a)</w:t>
      </w:r>
      <w:r w:rsidR="006B5EE1" w:rsidRPr="00B63B1A">
        <w:rPr>
          <w:b/>
          <w:bCs/>
        </w:rPr>
        <w:tab/>
        <w:t>Take measures</w:t>
      </w:r>
      <w:r w:rsidRPr="00B63B1A">
        <w:rPr>
          <w:b/>
          <w:bCs/>
        </w:rPr>
        <w:t xml:space="preserve"> to ensure that all persons with disabilities, in particular persons with intellectual and/or psychosocial disabilities, persons with disabilities living in remote areas, persons with disabilities living in institutions and children and women with disabilities, have access to information on an equal basis with others and to affordable, accessible, quality and culturally sensitive medical equipment and health services, including sexual, reproductive and mental health </w:t>
      </w:r>
      <w:proofErr w:type="gramStart"/>
      <w:r w:rsidRPr="00B63B1A">
        <w:rPr>
          <w:b/>
          <w:bCs/>
        </w:rPr>
        <w:t>services;</w:t>
      </w:r>
      <w:proofErr w:type="gramEnd"/>
      <w:r w:rsidRPr="00B63B1A">
        <w:rPr>
          <w:b/>
          <w:bCs/>
        </w:rPr>
        <w:t xml:space="preserve"> </w:t>
      </w:r>
    </w:p>
    <w:p w14:paraId="135352E1" w14:textId="3C569DC6" w:rsidR="006B5EE1" w:rsidRPr="00B63B1A" w:rsidRDefault="009D71CA" w:rsidP="001B4958">
      <w:pPr>
        <w:pStyle w:val="SingleTxtG"/>
        <w:ind w:firstLine="567"/>
        <w:rPr>
          <w:b/>
          <w:bCs/>
        </w:rPr>
      </w:pPr>
      <w:r w:rsidRPr="00B63B1A">
        <w:rPr>
          <w:b/>
          <w:bCs/>
        </w:rPr>
        <w:tab/>
      </w:r>
      <w:r w:rsidR="006B5EE1" w:rsidRPr="00B63B1A">
        <w:rPr>
          <w:b/>
          <w:bCs/>
        </w:rPr>
        <w:t>(b)</w:t>
      </w:r>
      <w:r w:rsidR="006B5EE1" w:rsidRPr="00B63B1A">
        <w:rPr>
          <w:b/>
          <w:bCs/>
        </w:rPr>
        <w:tab/>
      </w:r>
      <w:r w:rsidRPr="00B63B1A">
        <w:rPr>
          <w:b/>
          <w:bCs/>
        </w:rPr>
        <w:t xml:space="preserve">Strengthen the requirements for systematic participation of persons with disabilities in the planning, design, monitoring and evaluation of accessibility, care processes and working methods in healthcare, and strengthen the implementation of the human rights model of disability. </w:t>
      </w:r>
    </w:p>
    <w:p w14:paraId="7E9F446C" w14:textId="77777777" w:rsidR="006B5EE1" w:rsidRPr="00B63B1A" w:rsidRDefault="006B5EE1" w:rsidP="006B5EE1">
      <w:pPr>
        <w:pStyle w:val="H23G"/>
      </w:pPr>
      <w:r w:rsidRPr="00B63B1A">
        <w:tab/>
      </w:r>
      <w:r w:rsidRPr="00B63B1A">
        <w:tab/>
        <w:t>Habilitation and rehabilitation (art. 26)</w:t>
      </w:r>
    </w:p>
    <w:p w14:paraId="3F10D666" w14:textId="212CA523" w:rsidR="006B5EE1" w:rsidRPr="00B63B1A" w:rsidRDefault="006B5EE1" w:rsidP="00742A01">
      <w:pPr>
        <w:pStyle w:val="SingleTxtG"/>
      </w:pPr>
      <w:r w:rsidRPr="00B63B1A">
        <w:t>5</w:t>
      </w:r>
      <w:r w:rsidR="00EC12F7" w:rsidRPr="00B63B1A">
        <w:t>7</w:t>
      </w:r>
      <w:r w:rsidRPr="00B63B1A">
        <w:t>.</w:t>
      </w:r>
      <w:r w:rsidRPr="00B63B1A">
        <w:tab/>
        <w:t xml:space="preserve">The Committee is concerned about the </w:t>
      </w:r>
      <w:r w:rsidR="00CC3DDD" w:rsidRPr="00B63B1A">
        <w:t xml:space="preserve">inconsistency and limited range of services and providers across the regions and the municipalities and the </w:t>
      </w:r>
      <w:r w:rsidR="00061899" w:rsidRPr="00B63B1A">
        <w:t>l</w:t>
      </w:r>
      <w:r w:rsidRPr="00B63B1A">
        <w:t xml:space="preserve">ack of </w:t>
      </w:r>
      <w:r w:rsidR="00CC3DDD" w:rsidRPr="00B63B1A">
        <w:t xml:space="preserve">nationally consistent </w:t>
      </w:r>
      <w:r w:rsidR="00742A01" w:rsidRPr="00B63B1A">
        <w:t>guidelines</w:t>
      </w:r>
      <w:r w:rsidRPr="00B63B1A">
        <w:t xml:space="preserve"> </w:t>
      </w:r>
      <w:r w:rsidR="00742A01" w:rsidRPr="00B63B1A">
        <w:t xml:space="preserve">and monitoring mechanisms </w:t>
      </w:r>
      <w:r w:rsidRPr="00B63B1A">
        <w:t xml:space="preserve">to ensure persons with disabilities receive </w:t>
      </w:r>
      <w:r w:rsidR="00CC3DDD" w:rsidRPr="00B63B1A">
        <w:t xml:space="preserve">appropriate </w:t>
      </w:r>
      <w:r w:rsidR="00742A01" w:rsidRPr="00B63B1A">
        <w:t>habilitation and</w:t>
      </w:r>
      <w:r w:rsidRPr="00B63B1A">
        <w:t xml:space="preserve"> rehabilitation services</w:t>
      </w:r>
      <w:r w:rsidR="00CC3DDD" w:rsidRPr="00B63B1A">
        <w:t>.</w:t>
      </w:r>
      <w:r w:rsidRPr="00B63B1A">
        <w:t xml:space="preserve"> </w:t>
      </w:r>
    </w:p>
    <w:p w14:paraId="03FDE7F1" w14:textId="12B7BBE4" w:rsidR="006B5EE1" w:rsidRPr="00B63B1A" w:rsidRDefault="00EC12F7" w:rsidP="006B5EE1">
      <w:pPr>
        <w:pStyle w:val="SingleTxtG"/>
        <w:rPr>
          <w:b/>
          <w:bCs/>
        </w:rPr>
      </w:pPr>
      <w:r w:rsidRPr="00B63B1A">
        <w:t>58</w:t>
      </w:r>
      <w:r w:rsidR="006B5EE1" w:rsidRPr="00B63B1A">
        <w:t>.</w:t>
      </w:r>
      <w:r w:rsidR="006B5EE1" w:rsidRPr="00B63B1A">
        <w:rPr>
          <w:b/>
          <w:bCs/>
        </w:rPr>
        <w:tab/>
        <w:t xml:space="preserve">The Committee recommends that the State party develop </w:t>
      </w:r>
      <w:r w:rsidR="00CC3DDD" w:rsidRPr="00B63B1A">
        <w:rPr>
          <w:b/>
          <w:bCs/>
        </w:rPr>
        <w:t xml:space="preserve">nationally consistent </w:t>
      </w:r>
      <w:r w:rsidR="00742A01" w:rsidRPr="00B63B1A">
        <w:rPr>
          <w:b/>
          <w:bCs/>
        </w:rPr>
        <w:t>guidelines</w:t>
      </w:r>
      <w:r w:rsidR="00CC3DDD" w:rsidRPr="00B63B1A">
        <w:rPr>
          <w:b/>
          <w:bCs/>
        </w:rPr>
        <w:t xml:space="preserve">, monitoring and </w:t>
      </w:r>
      <w:proofErr w:type="spellStart"/>
      <w:r w:rsidR="00CC3DDD" w:rsidRPr="00B63B1A">
        <w:rPr>
          <w:b/>
          <w:bCs/>
        </w:rPr>
        <w:t>evalutation</w:t>
      </w:r>
      <w:proofErr w:type="spellEnd"/>
      <w:r w:rsidR="00CC3DDD" w:rsidRPr="00B63B1A">
        <w:rPr>
          <w:b/>
          <w:bCs/>
        </w:rPr>
        <w:t xml:space="preserve"> mechanisms to ensure persons with disabilities </w:t>
      </w:r>
      <w:r w:rsidR="006B5EE1" w:rsidRPr="00B63B1A">
        <w:rPr>
          <w:b/>
          <w:bCs/>
        </w:rPr>
        <w:t xml:space="preserve">can easily select and receive the most relevant </w:t>
      </w:r>
      <w:r w:rsidR="00CC3DDD" w:rsidRPr="00B63B1A">
        <w:rPr>
          <w:b/>
          <w:bCs/>
        </w:rPr>
        <w:t xml:space="preserve">and appropriate </w:t>
      </w:r>
      <w:r w:rsidR="00742A01" w:rsidRPr="00B63B1A">
        <w:rPr>
          <w:b/>
          <w:bCs/>
        </w:rPr>
        <w:t xml:space="preserve">habilitation and </w:t>
      </w:r>
      <w:r w:rsidR="006B5EE1" w:rsidRPr="00B63B1A">
        <w:rPr>
          <w:b/>
          <w:bCs/>
        </w:rPr>
        <w:t xml:space="preserve">rehabilitation programmes or services in accordance with their choice and preference, and </w:t>
      </w:r>
      <w:r w:rsidR="004865AA" w:rsidRPr="00B63B1A">
        <w:rPr>
          <w:b/>
          <w:bCs/>
        </w:rPr>
        <w:t xml:space="preserve">can </w:t>
      </w:r>
      <w:r w:rsidR="006B5EE1" w:rsidRPr="00B63B1A">
        <w:rPr>
          <w:b/>
          <w:bCs/>
        </w:rPr>
        <w:t>exercise independent living and have access to the labour market.</w:t>
      </w:r>
    </w:p>
    <w:p w14:paraId="3EB7B6B5" w14:textId="77777777" w:rsidR="006B5EE1" w:rsidRPr="00B63B1A" w:rsidRDefault="006B5EE1" w:rsidP="006B5EE1">
      <w:pPr>
        <w:pStyle w:val="H23G"/>
      </w:pPr>
      <w:r w:rsidRPr="00B63B1A">
        <w:tab/>
      </w:r>
      <w:r w:rsidRPr="00B63B1A">
        <w:tab/>
        <w:t>Work and employment (art. 27)</w:t>
      </w:r>
    </w:p>
    <w:p w14:paraId="24702106" w14:textId="77777777" w:rsidR="002B1A4E" w:rsidRPr="00B63B1A" w:rsidRDefault="00EC12F7" w:rsidP="006B5EE1">
      <w:pPr>
        <w:pStyle w:val="SingleTxtG"/>
      </w:pPr>
      <w:r w:rsidRPr="00B63B1A">
        <w:t>59</w:t>
      </w:r>
      <w:r w:rsidR="006B5EE1" w:rsidRPr="00B63B1A">
        <w:t>.</w:t>
      </w:r>
      <w:r w:rsidR="006B5EE1" w:rsidRPr="00B63B1A">
        <w:tab/>
        <w:t>The Committee is concerned</w:t>
      </w:r>
      <w:r w:rsidR="002B1A4E" w:rsidRPr="00B63B1A">
        <w:t xml:space="preserve">: </w:t>
      </w:r>
    </w:p>
    <w:p w14:paraId="13742F11" w14:textId="24BD782A" w:rsidR="002B1A4E" w:rsidRPr="00B63B1A" w:rsidRDefault="002B1A4E" w:rsidP="002B1A4E">
      <w:pPr>
        <w:pStyle w:val="SingleTxtG"/>
        <w:ind w:firstLine="567"/>
      </w:pPr>
      <w:r w:rsidRPr="00B63B1A">
        <w:t>(a)</w:t>
      </w:r>
      <w:r w:rsidRPr="00B63B1A">
        <w:tab/>
        <w:t>A</w:t>
      </w:r>
      <w:r w:rsidR="004905E1" w:rsidRPr="00B63B1A">
        <w:t xml:space="preserve">t the </w:t>
      </w:r>
      <w:r w:rsidR="00052BE4" w:rsidRPr="00B63B1A">
        <w:t>high incidence of unemployment among persons with disabilities</w:t>
      </w:r>
      <w:r w:rsidR="004905E1" w:rsidRPr="00B63B1A">
        <w:t>, in particular women with disabilities and young persons with disabilities</w:t>
      </w:r>
      <w:r w:rsidR="006205A6" w:rsidRPr="00B63B1A">
        <w:t xml:space="preserve">, </w:t>
      </w:r>
      <w:r w:rsidR="0010289A" w:rsidRPr="00B63B1A">
        <w:t xml:space="preserve">national minority persons with disabilities </w:t>
      </w:r>
      <w:r w:rsidR="006205A6" w:rsidRPr="00B63B1A">
        <w:t>and migrant persons with disabilities</w:t>
      </w:r>
      <w:r w:rsidRPr="00B63B1A">
        <w:t xml:space="preserve">, as well as the continued </w:t>
      </w:r>
      <w:r w:rsidR="0083317A" w:rsidRPr="00B63B1A">
        <w:t>discrimination in</w:t>
      </w:r>
      <w:r w:rsidRPr="00B63B1A">
        <w:t xml:space="preserve"> payment mechanism</w:t>
      </w:r>
      <w:r w:rsidR="0083317A" w:rsidRPr="00B63B1A">
        <w:t>s</w:t>
      </w:r>
      <w:r w:rsidRPr="00B63B1A">
        <w:t xml:space="preserve"> for persons with disabilities </w:t>
      </w:r>
      <w:r w:rsidR="0083317A" w:rsidRPr="00B63B1A">
        <w:t xml:space="preserve">with </w:t>
      </w:r>
      <w:r w:rsidRPr="00B63B1A">
        <w:t>"reduced work capacity</w:t>
      </w:r>
      <w:proofErr w:type="gramStart"/>
      <w:r w:rsidRPr="00B63B1A">
        <w:t>";</w:t>
      </w:r>
      <w:proofErr w:type="gramEnd"/>
    </w:p>
    <w:p w14:paraId="77097755" w14:textId="1A7EEBAA" w:rsidR="002B1A4E" w:rsidRPr="00B63B1A" w:rsidRDefault="002B1A4E" w:rsidP="002B1A4E">
      <w:pPr>
        <w:pStyle w:val="SingleTxtG"/>
        <w:ind w:firstLine="567"/>
      </w:pPr>
      <w:r w:rsidRPr="00B63B1A">
        <w:t>(b)</w:t>
      </w:r>
      <w:r w:rsidRPr="00B63B1A">
        <w:tab/>
        <w:t>A</w:t>
      </w:r>
      <w:r w:rsidR="006205A6" w:rsidRPr="00B63B1A">
        <w:t>t</w:t>
      </w:r>
      <w:r w:rsidR="004905E1" w:rsidRPr="00B63B1A">
        <w:t xml:space="preserve"> the discrimination and barriers that persons with disabilities face in their employment, the disparities across the regions and the municipalities with regard to provision of support, and the lack of measures to ensure the accountability of employers for not respecting the quotas for employment of persons with </w:t>
      </w:r>
      <w:proofErr w:type="gramStart"/>
      <w:r w:rsidR="004905E1" w:rsidRPr="00B63B1A">
        <w:t>disabilities</w:t>
      </w:r>
      <w:r w:rsidRPr="00B63B1A">
        <w:t>;</w:t>
      </w:r>
      <w:proofErr w:type="gramEnd"/>
      <w:r w:rsidRPr="00B63B1A">
        <w:t xml:space="preserve"> </w:t>
      </w:r>
    </w:p>
    <w:p w14:paraId="66CBB6E9" w14:textId="6E8A8611" w:rsidR="002B1A4E" w:rsidRPr="00B63B1A" w:rsidRDefault="002B1A4E" w:rsidP="002B1A4E">
      <w:pPr>
        <w:pStyle w:val="SingleTxtG"/>
        <w:ind w:firstLine="567"/>
      </w:pPr>
      <w:r w:rsidRPr="00B63B1A">
        <w:t>(c)</w:t>
      </w:r>
      <w:r w:rsidRPr="00B63B1A">
        <w:tab/>
        <w:t>T</w:t>
      </w:r>
      <w:r w:rsidR="009B5011" w:rsidRPr="00B63B1A">
        <w:t xml:space="preserve">he </w:t>
      </w:r>
      <w:r w:rsidR="006B5EE1" w:rsidRPr="00B63B1A">
        <w:t xml:space="preserve">lack of vocational training and protocols to eliminate discrimination and segregation and to ensure that persons with disabilities have equal opportunities to </w:t>
      </w:r>
      <w:r w:rsidR="006205A6" w:rsidRPr="00B63B1A">
        <w:t>work and employment</w:t>
      </w:r>
      <w:r w:rsidRPr="00B63B1A">
        <w:t>.</w:t>
      </w:r>
    </w:p>
    <w:p w14:paraId="5AEF9D20" w14:textId="09E7F41C" w:rsidR="006B5EE1" w:rsidRPr="00B63B1A" w:rsidRDefault="006B5EE1" w:rsidP="006B5EE1">
      <w:pPr>
        <w:pStyle w:val="SingleTxtG"/>
        <w:rPr>
          <w:b/>
          <w:bCs/>
        </w:rPr>
      </w:pPr>
      <w:r w:rsidRPr="00B63B1A">
        <w:t>6</w:t>
      </w:r>
      <w:r w:rsidR="00EC12F7" w:rsidRPr="00B63B1A">
        <w:t>0</w:t>
      </w:r>
      <w:r w:rsidRPr="00B63B1A">
        <w:t>.</w:t>
      </w:r>
      <w:r w:rsidRPr="00B63B1A">
        <w:rPr>
          <w:b/>
          <w:bCs/>
        </w:rPr>
        <w:tab/>
        <w:t>With reference to its general comment No. 8 (2022)</w:t>
      </w:r>
      <w:r w:rsidR="000E4D04" w:rsidRPr="00B63B1A">
        <w:rPr>
          <w:b/>
          <w:bCs/>
        </w:rPr>
        <w:t xml:space="preserve"> on the right of persons with disabilities to work and employment</w:t>
      </w:r>
      <w:r w:rsidRPr="00B63B1A">
        <w:rPr>
          <w:b/>
          <w:bCs/>
        </w:rPr>
        <w:t>, the Committee recommends that the State party:</w:t>
      </w:r>
    </w:p>
    <w:p w14:paraId="356BC9F7" w14:textId="5679D7B0" w:rsidR="006B5EE1" w:rsidRPr="00B63B1A" w:rsidRDefault="006205A6" w:rsidP="001B4958">
      <w:pPr>
        <w:pStyle w:val="SingleTxtG"/>
        <w:ind w:firstLine="567"/>
        <w:rPr>
          <w:b/>
          <w:bCs/>
        </w:rPr>
      </w:pPr>
      <w:r w:rsidRPr="00B63B1A">
        <w:rPr>
          <w:b/>
          <w:bCs/>
        </w:rPr>
        <w:lastRenderedPageBreak/>
        <w:tab/>
      </w:r>
      <w:r w:rsidR="006B5EE1" w:rsidRPr="00B63B1A">
        <w:rPr>
          <w:b/>
          <w:bCs/>
        </w:rPr>
        <w:t>(a)</w:t>
      </w:r>
      <w:r w:rsidR="006B5EE1" w:rsidRPr="00B63B1A">
        <w:rPr>
          <w:b/>
          <w:bCs/>
        </w:rPr>
        <w:tab/>
      </w:r>
      <w:r w:rsidRPr="00B63B1A">
        <w:rPr>
          <w:b/>
          <w:bCs/>
        </w:rPr>
        <w:t>Review the existing national legislation to address systemic</w:t>
      </w:r>
      <w:r w:rsidR="0010289A" w:rsidRPr="00B63B1A">
        <w:rPr>
          <w:b/>
          <w:bCs/>
        </w:rPr>
        <w:t xml:space="preserve">, </w:t>
      </w:r>
      <w:proofErr w:type="spellStart"/>
      <w:r w:rsidR="0010289A" w:rsidRPr="00B63B1A">
        <w:rPr>
          <w:b/>
          <w:bCs/>
        </w:rPr>
        <w:t>intersectional</w:t>
      </w:r>
      <w:r w:rsidRPr="00B63B1A">
        <w:rPr>
          <w:b/>
          <w:bCs/>
        </w:rPr>
        <w:t>and</w:t>
      </w:r>
      <w:proofErr w:type="spellEnd"/>
      <w:r w:rsidRPr="00B63B1A">
        <w:rPr>
          <w:b/>
          <w:bCs/>
        </w:rPr>
        <w:t xml:space="preserve"> structural barriers </w:t>
      </w:r>
      <w:r w:rsidR="009B5011" w:rsidRPr="00B63B1A">
        <w:rPr>
          <w:b/>
          <w:bCs/>
        </w:rPr>
        <w:t xml:space="preserve">experienced by persons with disabilities, in particular women with disabilities, young persons with disabilities, </w:t>
      </w:r>
      <w:r w:rsidR="0010289A" w:rsidRPr="00B63B1A">
        <w:rPr>
          <w:b/>
          <w:bCs/>
        </w:rPr>
        <w:t xml:space="preserve">national minorities with disabilities, </w:t>
      </w:r>
      <w:r w:rsidR="009B5011" w:rsidRPr="00B63B1A">
        <w:rPr>
          <w:b/>
          <w:bCs/>
        </w:rPr>
        <w:t>migrant persons with disabilities, persons with intellectual and/or psychosocial disabilities, and take measures to increase the number of persons with disabilities in open labour market</w:t>
      </w:r>
      <w:r w:rsidR="002B1A4E" w:rsidRPr="00B63B1A">
        <w:rPr>
          <w:b/>
          <w:bCs/>
        </w:rPr>
        <w:t xml:space="preserve"> </w:t>
      </w:r>
      <w:r w:rsidR="003950CE" w:rsidRPr="00B63B1A">
        <w:rPr>
          <w:b/>
          <w:bCs/>
        </w:rPr>
        <w:t xml:space="preserve">and review the assessment of reduced capacity to </w:t>
      </w:r>
      <w:proofErr w:type="gramStart"/>
      <w:r w:rsidR="003950CE" w:rsidRPr="00B63B1A">
        <w:rPr>
          <w:b/>
          <w:bCs/>
        </w:rPr>
        <w:t>work</w:t>
      </w:r>
      <w:r w:rsidR="006B5EE1" w:rsidRPr="00B63B1A">
        <w:rPr>
          <w:b/>
          <w:bCs/>
        </w:rPr>
        <w:t>;</w:t>
      </w:r>
      <w:proofErr w:type="gramEnd"/>
    </w:p>
    <w:p w14:paraId="032FCD72" w14:textId="10A40EF7" w:rsidR="006B5EE1" w:rsidRPr="00B63B1A" w:rsidRDefault="009B5011" w:rsidP="001B4958">
      <w:pPr>
        <w:pStyle w:val="SingleTxtG"/>
        <w:ind w:firstLine="567"/>
        <w:rPr>
          <w:b/>
          <w:bCs/>
        </w:rPr>
      </w:pPr>
      <w:r w:rsidRPr="00B63B1A">
        <w:rPr>
          <w:b/>
          <w:bCs/>
        </w:rPr>
        <w:tab/>
      </w:r>
      <w:r w:rsidR="006B5EE1" w:rsidRPr="00B63B1A">
        <w:rPr>
          <w:b/>
          <w:bCs/>
        </w:rPr>
        <w:t>(b)</w:t>
      </w:r>
      <w:r w:rsidR="006B5EE1" w:rsidRPr="00B63B1A">
        <w:rPr>
          <w:b/>
          <w:bCs/>
        </w:rPr>
        <w:tab/>
        <w:t xml:space="preserve">Enforce the implementation of the quotas of employment for persons with disabilities in both the public and the private sectors, and ensure the accessibility of and reasonable accommodation in </w:t>
      </w:r>
      <w:proofErr w:type="gramStart"/>
      <w:r w:rsidR="006B5EE1" w:rsidRPr="00B63B1A">
        <w:rPr>
          <w:b/>
          <w:bCs/>
        </w:rPr>
        <w:t>workplaces;</w:t>
      </w:r>
      <w:proofErr w:type="gramEnd"/>
    </w:p>
    <w:p w14:paraId="5BE9312E" w14:textId="6D713393" w:rsidR="006B5EE1" w:rsidRPr="00B63B1A" w:rsidRDefault="009B5011" w:rsidP="001B4958">
      <w:pPr>
        <w:pStyle w:val="SingleTxtG"/>
        <w:ind w:firstLine="567"/>
        <w:rPr>
          <w:b/>
          <w:bCs/>
        </w:rPr>
      </w:pPr>
      <w:r w:rsidRPr="00B63B1A">
        <w:rPr>
          <w:b/>
          <w:bCs/>
        </w:rPr>
        <w:tab/>
      </w:r>
      <w:r w:rsidR="006B5EE1" w:rsidRPr="00B63B1A">
        <w:rPr>
          <w:b/>
          <w:bCs/>
        </w:rPr>
        <w:t>(c)</w:t>
      </w:r>
      <w:r w:rsidR="006B5EE1" w:rsidRPr="00B63B1A">
        <w:rPr>
          <w:b/>
          <w:bCs/>
        </w:rPr>
        <w:tab/>
      </w:r>
      <w:r w:rsidRPr="00B63B1A">
        <w:rPr>
          <w:b/>
          <w:bCs/>
        </w:rPr>
        <w:t xml:space="preserve">Strengthen </w:t>
      </w:r>
      <w:r w:rsidR="006B5EE1" w:rsidRPr="00B63B1A">
        <w:rPr>
          <w:b/>
          <w:bCs/>
        </w:rPr>
        <w:t>the vocational</w:t>
      </w:r>
      <w:r w:rsidRPr="00B63B1A">
        <w:rPr>
          <w:b/>
          <w:bCs/>
        </w:rPr>
        <w:t xml:space="preserve"> and professional</w:t>
      </w:r>
      <w:r w:rsidR="006B5EE1" w:rsidRPr="00B63B1A">
        <w:rPr>
          <w:b/>
          <w:bCs/>
        </w:rPr>
        <w:t xml:space="preserve"> training system and take measures to ensure accessibility and inclusiveness, including through the establishment of a complaints mechanism to investigate discriminatory practices on the basis of disability in the field of vocational rehabilitation and work</w:t>
      </w:r>
      <w:r w:rsidRPr="00B63B1A">
        <w:rPr>
          <w:b/>
          <w:bCs/>
        </w:rPr>
        <w:t>, and ensure the effective transition from vocational and tertiary education to work in the open labour market</w:t>
      </w:r>
      <w:r w:rsidR="006B5EE1" w:rsidRPr="00B63B1A">
        <w:rPr>
          <w:b/>
          <w:bCs/>
        </w:rPr>
        <w:t>.</w:t>
      </w:r>
    </w:p>
    <w:p w14:paraId="1C109658" w14:textId="77777777" w:rsidR="006B5EE1" w:rsidRPr="00B63B1A" w:rsidRDefault="006B5EE1" w:rsidP="006B5EE1">
      <w:pPr>
        <w:pStyle w:val="H23G"/>
      </w:pPr>
      <w:bookmarkStart w:id="1" w:name="_Hlk144719522"/>
      <w:r w:rsidRPr="00B63B1A">
        <w:tab/>
      </w:r>
      <w:r w:rsidRPr="00B63B1A">
        <w:tab/>
        <w:t>Adequate standard of living and social protection (art. 28)</w:t>
      </w:r>
    </w:p>
    <w:p w14:paraId="43647646" w14:textId="044FF991" w:rsidR="006B5EE1" w:rsidRPr="00B63B1A" w:rsidRDefault="006B5EE1" w:rsidP="006B5EE1">
      <w:pPr>
        <w:pStyle w:val="SingleTxtG"/>
      </w:pPr>
      <w:r w:rsidRPr="00B63B1A">
        <w:t>6</w:t>
      </w:r>
      <w:r w:rsidR="00EC12F7" w:rsidRPr="00B63B1A">
        <w:t>1</w:t>
      </w:r>
      <w:r w:rsidRPr="00B63B1A">
        <w:t>.</w:t>
      </w:r>
      <w:r w:rsidRPr="00B63B1A">
        <w:tab/>
        <w:t>The Committee is concerned about:</w:t>
      </w:r>
    </w:p>
    <w:p w14:paraId="001A4023" w14:textId="3197F9D0" w:rsidR="006B5EE1" w:rsidRPr="00B63B1A" w:rsidRDefault="00F53551" w:rsidP="001B4958">
      <w:pPr>
        <w:pStyle w:val="SingleTxtG"/>
        <w:ind w:firstLine="567"/>
      </w:pPr>
      <w:r w:rsidRPr="00B63B1A">
        <w:tab/>
      </w:r>
      <w:r w:rsidR="006B5EE1" w:rsidRPr="00B63B1A">
        <w:t>(a)</w:t>
      </w:r>
      <w:r w:rsidR="006B5EE1" w:rsidRPr="00B63B1A">
        <w:tab/>
        <w:t xml:space="preserve">The higher risk of poverty among persons with disabilities, </w:t>
      </w:r>
      <w:r w:rsidR="00B575A3" w:rsidRPr="00B63B1A">
        <w:t>the</w:t>
      </w:r>
      <w:r w:rsidR="006B5EE1" w:rsidRPr="00B63B1A">
        <w:t xml:space="preserve"> </w:t>
      </w:r>
      <w:r w:rsidR="000A10F7" w:rsidRPr="00B63B1A">
        <w:t>in</w:t>
      </w:r>
      <w:r w:rsidR="00AE37B3" w:rsidRPr="00B63B1A">
        <w:t>sufficien</w:t>
      </w:r>
      <w:r w:rsidR="000A10F7" w:rsidRPr="00B63B1A">
        <w:t>t</w:t>
      </w:r>
      <w:r w:rsidR="006B5EE1" w:rsidRPr="00B63B1A">
        <w:t xml:space="preserve"> measures to address poverty among persons with disabilities and the </w:t>
      </w:r>
      <w:r w:rsidRPr="00B63B1A">
        <w:t>lack</w:t>
      </w:r>
      <w:r w:rsidR="006B5EE1" w:rsidRPr="00B63B1A">
        <w:t xml:space="preserve"> of regular </w:t>
      </w:r>
      <w:r w:rsidRPr="00B63B1A">
        <w:t xml:space="preserve">studies </w:t>
      </w:r>
      <w:r w:rsidR="006B5EE1" w:rsidRPr="00B63B1A">
        <w:t xml:space="preserve">examining the systemic causes of the intersection of poverty and disability </w:t>
      </w:r>
      <w:proofErr w:type="gramStart"/>
      <w:r w:rsidRPr="00B63B1A">
        <w:t>to  adequately</w:t>
      </w:r>
      <w:proofErr w:type="gramEnd"/>
      <w:r w:rsidRPr="00B63B1A">
        <w:t xml:space="preserve"> </w:t>
      </w:r>
      <w:r w:rsidR="006B5EE1" w:rsidRPr="00B63B1A">
        <w:t>inform governmental policies and plan</w:t>
      </w:r>
      <w:r w:rsidRPr="00B63B1A">
        <w:t>s</w:t>
      </w:r>
      <w:r w:rsidR="006B5EE1" w:rsidRPr="00B63B1A">
        <w:t>;</w:t>
      </w:r>
    </w:p>
    <w:p w14:paraId="797E8455" w14:textId="0AE902BE" w:rsidR="007630CB" w:rsidRPr="00B63B1A" w:rsidRDefault="00F53551" w:rsidP="001B4958">
      <w:pPr>
        <w:pStyle w:val="SingleTxtG"/>
        <w:ind w:firstLine="567"/>
      </w:pPr>
      <w:r w:rsidRPr="00B63B1A">
        <w:tab/>
      </w:r>
      <w:r w:rsidR="006B5EE1" w:rsidRPr="00B63B1A">
        <w:t>(b)</w:t>
      </w:r>
      <w:r w:rsidR="006B5EE1" w:rsidRPr="00B63B1A">
        <w:tab/>
      </w:r>
      <w:r w:rsidRPr="00B63B1A">
        <w:t xml:space="preserve">The disparities of support measures </w:t>
      </w:r>
      <w:r w:rsidR="0083317A" w:rsidRPr="00B63B1A">
        <w:t xml:space="preserve">for </w:t>
      </w:r>
      <w:r w:rsidR="00CA0BDE" w:rsidRPr="00B63B1A">
        <w:t>persons</w:t>
      </w:r>
      <w:r w:rsidR="0083317A" w:rsidRPr="00B63B1A">
        <w:t xml:space="preserve"> </w:t>
      </w:r>
      <w:r w:rsidRPr="00B63B1A">
        <w:t xml:space="preserve">with disabilities </w:t>
      </w:r>
      <w:r w:rsidR="007630CB" w:rsidRPr="00B63B1A">
        <w:t>in different regions and municipalities</w:t>
      </w:r>
      <w:r w:rsidR="00F93AC1" w:rsidRPr="00B63B1A">
        <w:t xml:space="preserve"> and the bureaucratic procedure for submitting an application for </w:t>
      </w:r>
      <w:proofErr w:type="gramStart"/>
      <w:r w:rsidR="00F93AC1" w:rsidRPr="00B63B1A">
        <w:t>support</w:t>
      </w:r>
      <w:r w:rsidR="007630CB" w:rsidRPr="00B63B1A">
        <w:t>;</w:t>
      </w:r>
      <w:proofErr w:type="gramEnd"/>
      <w:r w:rsidR="007630CB" w:rsidRPr="00B63B1A">
        <w:t xml:space="preserve"> </w:t>
      </w:r>
    </w:p>
    <w:p w14:paraId="51194B32" w14:textId="6B30A6CD" w:rsidR="006B5EE1" w:rsidRPr="00B63B1A" w:rsidRDefault="007630CB" w:rsidP="007630CB">
      <w:pPr>
        <w:pStyle w:val="SingleTxtG"/>
        <w:ind w:firstLine="567"/>
      </w:pPr>
      <w:r w:rsidRPr="00B63B1A">
        <w:t>(c)</w:t>
      </w:r>
      <w:r w:rsidRPr="00B63B1A">
        <w:tab/>
        <w:t>The lack of access to disability support schemes for asylum-seek</w:t>
      </w:r>
      <w:r w:rsidR="00CA0BDE" w:rsidRPr="00B63B1A">
        <w:t>ers</w:t>
      </w:r>
      <w:r w:rsidRPr="00B63B1A">
        <w:t xml:space="preserve">, </w:t>
      </w:r>
      <w:proofErr w:type="gramStart"/>
      <w:r w:rsidRPr="00B63B1A">
        <w:t>refugees</w:t>
      </w:r>
      <w:proofErr w:type="gramEnd"/>
      <w:r w:rsidRPr="00B63B1A">
        <w:t xml:space="preserve"> and migrants with disabilities, including persons with disabilities under temporary protection</w:t>
      </w:r>
      <w:r w:rsidR="006B5EE1" w:rsidRPr="00B63B1A">
        <w:t>.</w:t>
      </w:r>
    </w:p>
    <w:p w14:paraId="5266A9BA" w14:textId="485157C9" w:rsidR="006B5EE1" w:rsidRPr="00B63B1A" w:rsidRDefault="006B5EE1" w:rsidP="006B5EE1">
      <w:pPr>
        <w:pStyle w:val="SingleTxtG"/>
        <w:rPr>
          <w:b/>
          <w:bCs/>
        </w:rPr>
      </w:pPr>
      <w:r w:rsidRPr="00B63B1A">
        <w:t>6</w:t>
      </w:r>
      <w:r w:rsidR="00EC12F7" w:rsidRPr="00B63B1A">
        <w:t>2</w:t>
      </w:r>
      <w:r w:rsidRPr="00B63B1A">
        <w:t>.</w:t>
      </w:r>
      <w:r w:rsidRPr="00B63B1A">
        <w:rPr>
          <w:b/>
          <w:bCs/>
        </w:rPr>
        <w:tab/>
      </w:r>
      <w:r w:rsidR="00F53551" w:rsidRPr="00B63B1A">
        <w:rPr>
          <w:b/>
          <w:bCs/>
        </w:rPr>
        <w:t>Recalling the links between article 28 of the Convention and target 10.2 of the Sustainable Development Goals, which seek to empower and to promote the economic inclusion of all persons, irrespective of disability status, t</w:t>
      </w:r>
      <w:r w:rsidRPr="00B63B1A">
        <w:rPr>
          <w:b/>
          <w:bCs/>
        </w:rPr>
        <w:t>he Committee recommends that the State party:</w:t>
      </w:r>
    </w:p>
    <w:p w14:paraId="478A16B1" w14:textId="7A2F1247" w:rsidR="006B5EE1" w:rsidRPr="00B63B1A" w:rsidRDefault="007630CB" w:rsidP="002D6CA3">
      <w:pPr>
        <w:pStyle w:val="SingleTxtG"/>
        <w:ind w:firstLine="567"/>
        <w:rPr>
          <w:b/>
          <w:bCs/>
        </w:rPr>
      </w:pPr>
      <w:r w:rsidRPr="00B63B1A">
        <w:rPr>
          <w:b/>
          <w:bCs/>
        </w:rPr>
        <w:tab/>
      </w:r>
      <w:r w:rsidR="006B5EE1" w:rsidRPr="00B63B1A">
        <w:rPr>
          <w:b/>
          <w:bCs/>
        </w:rPr>
        <w:t>(a)</w:t>
      </w:r>
      <w:r w:rsidR="006B5EE1" w:rsidRPr="00B63B1A">
        <w:rPr>
          <w:b/>
          <w:bCs/>
        </w:rPr>
        <w:tab/>
        <w:t xml:space="preserve">Take all necessary measures to address the increased risk of poverty among persons with disabilities and mainstream disability into all studies, research, policies and plans related to poverty </w:t>
      </w:r>
      <w:proofErr w:type="gramStart"/>
      <w:r w:rsidR="006B5EE1" w:rsidRPr="00B63B1A">
        <w:rPr>
          <w:b/>
          <w:bCs/>
        </w:rPr>
        <w:t>reduction;</w:t>
      </w:r>
      <w:proofErr w:type="gramEnd"/>
    </w:p>
    <w:p w14:paraId="17956124" w14:textId="41E41401" w:rsidR="006B5EE1" w:rsidRPr="00B63B1A" w:rsidRDefault="007630CB" w:rsidP="002D6CA3">
      <w:pPr>
        <w:pStyle w:val="SingleTxtG"/>
        <w:ind w:firstLine="567"/>
        <w:rPr>
          <w:b/>
          <w:bCs/>
        </w:rPr>
      </w:pPr>
      <w:r w:rsidRPr="00B63B1A">
        <w:rPr>
          <w:b/>
          <w:bCs/>
        </w:rPr>
        <w:tab/>
      </w:r>
      <w:r w:rsidR="006B5EE1" w:rsidRPr="00B63B1A">
        <w:rPr>
          <w:b/>
          <w:bCs/>
        </w:rPr>
        <w:t>(b)</w:t>
      </w:r>
      <w:r w:rsidR="006B5EE1" w:rsidRPr="00B63B1A">
        <w:rPr>
          <w:b/>
          <w:bCs/>
        </w:rPr>
        <w:tab/>
      </w:r>
      <w:r w:rsidRPr="00B63B1A">
        <w:rPr>
          <w:b/>
          <w:bCs/>
        </w:rPr>
        <w:t>Ensure equal access to support by persons with disabilities to across al</w:t>
      </w:r>
      <w:r w:rsidR="00CA0BDE" w:rsidRPr="00B63B1A">
        <w:rPr>
          <w:b/>
          <w:bCs/>
        </w:rPr>
        <w:t>l</w:t>
      </w:r>
      <w:r w:rsidRPr="00B63B1A">
        <w:rPr>
          <w:b/>
          <w:bCs/>
        </w:rPr>
        <w:t xml:space="preserve"> regions and municipalities</w:t>
      </w:r>
      <w:r w:rsidR="00DE467F" w:rsidRPr="00B63B1A">
        <w:rPr>
          <w:b/>
          <w:bCs/>
        </w:rPr>
        <w:t xml:space="preserve">, and simplify procedures for </w:t>
      </w:r>
      <w:r w:rsidR="008856B4" w:rsidRPr="00B63B1A">
        <w:rPr>
          <w:b/>
          <w:bCs/>
        </w:rPr>
        <w:t xml:space="preserve">the submission of </w:t>
      </w:r>
      <w:r w:rsidR="00DE467F" w:rsidRPr="00B63B1A">
        <w:rPr>
          <w:b/>
          <w:bCs/>
        </w:rPr>
        <w:t xml:space="preserve">applications for </w:t>
      </w:r>
      <w:proofErr w:type="gramStart"/>
      <w:r w:rsidR="00DE467F" w:rsidRPr="00B63B1A">
        <w:rPr>
          <w:b/>
          <w:bCs/>
        </w:rPr>
        <w:t>support</w:t>
      </w:r>
      <w:r w:rsidR="006B5EE1" w:rsidRPr="00B63B1A">
        <w:rPr>
          <w:b/>
          <w:bCs/>
        </w:rPr>
        <w:t>;</w:t>
      </w:r>
      <w:proofErr w:type="gramEnd"/>
    </w:p>
    <w:p w14:paraId="58BC5793" w14:textId="04864275" w:rsidR="006B5EE1" w:rsidRPr="00B63B1A" w:rsidRDefault="007630CB" w:rsidP="002D6CA3">
      <w:pPr>
        <w:pStyle w:val="SingleTxtG"/>
        <w:ind w:firstLine="567"/>
        <w:rPr>
          <w:b/>
          <w:bCs/>
        </w:rPr>
      </w:pPr>
      <w:r w:rsidRPr="00B63B1A">
        <w:rPr>
          <w:b/>
          <w:bCs/>
        </w:rPr>
        <w:tab/>
      </w:r>
      <w:r w:rsidR="006B5EE1" w:rsidRPr="00B63B1A">
        <w:rPr>
          <w:b/>
          <w:bCs/>
        </w:rPr>
        <w:t>(c)</w:t>
      </w:r>
      <w:r w:rsidR="006B5EE1" w:rsidRPr="00B63B1A">
        <w:rPr>
          <w:b/>
          <w:bCs/>
        </w:rPr>
        <w:tab/>
      </w:r>
      <w:r w:rsidRPr="00B63B1A">
        <w:rPr>
          <w:b/>
          <w:bCs/>
        </w:rPr>
        <w:t>Provide access to disability support schemes for asylum-seek</w:t>
      </w:r>
      <w:r w:rsidR="00CA0BDE" w:rsidRPr="00B63B1A">
        <w:rPr>
          <w:b/>
          <w:bCs/>
        </w:rPr>
        <w:t>ers</w:t>
      </w:r>
      <w:r w:rsidRPr="00B63B1A">
        <w:rPr>
          <w:b/>
          <w:bCs/>
        </w:rPr>
        <w:t xml:space="preserve">, </w:t>
      </w:r>
      <w:proofErr w:type="gramStart"/>
      <w:r w:rsidRPr="00B63B1A">
        <w:rPr>
          <w:b/>
          <w:bCs/>
        </w:rPr>
        <w:t>refugees</w:t>
      </w:r>
      <w:proofErr w:type="gramEnd"/>
      <w:r w:rsidRPr="00B63B1A">
        <w:rPr>
          <w:b/>
          <w:bCs/>
        </w:rPr>
        <w:t xml:space="preserve"> and migrants with disabilities, including persons with disabilities under temporary protection in order to prevent them from falling into poverty</w:t>
      </w:r>
      <w:r w:rsidR="006B5EE1" w:rsidRPr="00B63B1A">
        <w:rPr>
          <w:b/>
          <w:bCs/>
        </w:rPr>
        <w:t>.</w:t>
      </w:r>
    </w:p>
    <w:bookmarkEnd w:id="1"/>
    <w:p w14:paraId="4C7896C4" w14:textId="77777777" w:rsidR="006B5EE1" w:rsidRPr="00B63B1A" w:rsidRDefault="006B5EE1" w:rsidP="006B5EE1">
      <w:pPr>
        <w:pStyle w:val="H23G"/>
      </w:pPr>
      <w:r w:rsidRPr="00B63B1A">
        <w:tab/>
      </w:r>
      <w:r w:rsidRPr="00B63B1A">
        <w:tab/>
        <w:t>Participation in political and public life (art. 29)</w:t>
      </w:r>
    </w:p>
    <w:p w14:paraId="493CBA6A" w14:textId="1B64118F" w:rsidR="006B5EE1" w:rsidRPr="00B63B1A" w:rsidRDefault="006B5EE1" w:rsidP="006B5EE1">
      <w:pPr>
        <w:pStyle w:val="SingleTxtG"/>
      </w:pPr>
      <w:r w:rsidRPr="00B63B1A">
        <w:t>6</w:t>
      </w:r>
      <w:r w:rsidR="00EC12F7" w:rsidRPr="00B63B1A">
        <w:t>3</w:t>
      </w:r>
      <w:r w:rsidRPr="00B63B1A">
        <w:t>.</w:t>
      </w:r>
      <w:r w:rsidRPr="00B63B1A">
        <w:tab/>
        <w:t>The Committee is concerned about:</w:t>
      </w:r>
    </w:p>
    <w:p w14:paraId="383ACA59" w14:textId="39E57758" w:rsidR="00F22723" w:rsidRPr="00B63B1A" w:rsidRDefault="00F22723" w:rsidP="002D6CA3">
      <w:pPr>
        <w:pStyle w:val="SingleTxtG"/>
        <w:ind w:firstLine="567"/>
      </w:pPr>
      <w:r w:rsidRPr="00B63B1A">
        <w:tab/>
      </w:r>
      <w:r w:rsidR="006B5EE1" w:rsidRPr="00B63B1A">
        <w:t>(a)</w:t>
      </w:r>
      <w:r w:rsidR="006B5EE1" w:rsidRPr="00B63B1A">
        <w:tab/>
      </w:r>
      <w:r w:rsidR="005325A0" w:rsidRPr="00B63B1A">
        <w:t>Low participation of persons with disabilities in public and political life, including in election campaigns</w:t>
      </w:r>
      <w:r w:rsidR="00482177" w:rsidRPr="00B63B1A">
        <w:t xml:space="preserve">, as well </w:t>
      </w:r>
      <w:r w:rsidR="00B46DAC" w:rsidRPr="00B63B1A">
        <w:t xml:space="preserve">as </w:t>
      </w:r>
      <w:r w:rsidR="00482177" w:rsidRPr="00B63B1A">
        <w:t xml:space="preserve">about the lack of leadership programs for persons with all types of disabilities, particularly </w:t>
      </w:r>
      <w:proofErr w:type="gramStart"/>
      <w:r w:rsidR="00482177" w:rsidRPr="00B63B1A">
        <w:t>women;</w:t>
      </w:r>
      <w:proofErr w:type="gramEnd"/>
    </w:p>
    <w:p w14:paraId="6B0962E2" w14:textId="1E956B43" w:rsidR="004F7181" w:rsidRPr="00B63B1A" w:rsidRDefault="00F22723" w:rsidP="002D6CA3">
      <w:pPr>
        <w:pStyle w:val="SingleTxtG"/>
        <w:ind w:firstLine="567"/>
      </w:pPr>
      <w:r w:rsidRPr="00B63B1A">
        <w:tab/>
        <w:t>(b)</w:t>
      </w:r>
      <w:r w:rsidRPr="00B63B1A">
        <w:tab/>
      </w:r>
      <w:r w:rsidR="005325A0" w:rsidRPr="00B63B1A">
        <w:t xml:space="preserve"> The lack of accessibility to voting procedures, </w:t>
      </w:r>
      <w:proofErr w:type="gramStart"/>
      <w:r w:rsidR="005325A0" w:rsidRPr="00B63B1A">
        <w:t>facilities</w:t>
      </w:r>
      <w:proofErr w:type="gramEnd"/>
      <w:r w:rsidR="005325A0" w:rsidRPr="00B63B1A">
        <w:t xml:space="preserve"> and materials for all persons with disabilities, particularly for persons with physical, intellectual and/or psychosocial disabilities</w:t>
      </w:r>
      <w:r w:rsidR="00482177" w:rsidRPr="00B63B1A">
        <w:t>.</w:t>
      </w:r>
    </w:p>
    <w:p w14:paraId="71B10748" w14:textId="19BDEF4E" w:rsidR="006B5EE1" w:rsidRPr="00B63B1A" w:rsidRDefault="006B5EE1" w:rsidP="006B5EE1">
      <w:pPr>
        <w:pStyle w:val="SingleTxtG"/>
        <w:rPr>
          <w:b/>
          <w:bCs/>
        </w:rPr>
      </w:pPr>
      <w:r w:rsidRPr="00B63B1A">
        <w:t>6</w:t>
      </w:r>
      <w:r w:rsidR="00EC12F7" w:rsidRPr="00B63B1A">
        <w:t>4</w:t>
      </w:r>
      <w:r w:rsidRPr="00B63B1A">
        <w:t>.</w:t>
      </w:r>
      <w:r w:rsidRPr="00B63B1A">
        <w:rPr>
          <w:b/>
          <w:bCs/>
        </w:rPr>
        <w:tab/>
        <w:t>The Committee recommends that the State party:</w:t>
      </w:r>
    </w:p>
    <w:p w14:paraId="2F7140FB" w14:textId="1903C5AE" w:rsidR="006B5EE1" w:rsidRPr="00B63B1A" w:rsidRDefault="005325A0" w:rsidP="002D6CA3">
      <w:pPr>
        <w:pStyle w:val="SingleTxtG"/>
        <w:ind w:firstLine="567"/>
        <w:rPr>
          <w:b/>
          <w:bCs/>
        </w:rPr>
      </w:pPr>
      <w:r w:rsidRPr="00B63B1A">
        <w:rPr>
          <w:b/>
          <w:bCs/>
        </w:rPr>
        <w:tab/>
      </w:r>
      <w:r w:rsidR="006B5EE1" w:rsidRPr="00B63B1A">
        <w:rPr>
          <w:b/>
          <w:bCs/>
        </w:rPr>
        <w:t>(a)</w:t>
      </w:r>
      <w:r w:rsidR="006B5EE1" w:rsidRPr="00B63B1A">
        <w:rPr>
          <w:b/>
          <w:bCs/>
        </w:rPr>
        <w:tab/>
      </w:r>
      <w:r w:rsidR="00482177" w:rsidRPr="00B63B1A">
        <w:rPr>
          <w:b/>
          <w:bCs/>
        </w:rPr>
        <w:t xml:space="preserve">Develop and ensure the implementation of sustainable policies and measures to promote the </w:t>
      </w:r>
      <w:r w:rsidRPr="00B63B1A">
        <w:rPr>
          <w:b/>
          <w:bCs/>
        </w:rPr>
        <w:t>effective and full participat</w:t>
      </w:r>
      <w:r w:rsidR="000740CA" w:rsidRPr="00B63B1A">
        <w:rPr>
          <w:b/>
          <w:bCs/>
        </w:rPr>
        <w:t>ion</w:t>
      </w:r>
      <w:r w:rsidR="00482177" w:rsidRPr="00B63B1A">
        <w:rPr>
          <w:b/>
          <w:bCs/>
        </w:rPr>
        <w:t xml:space="preserve"> of persons with disabilities, </w:t>
      </w:r>
      <w:r w:rsidR="00482177" w:rsidRPr="00B63B1A">
        <w:rPr>
          <w:b/>
          <w:bCs/>
        </w:rPr>
        <w:lastRenderedPageBreak/>
        <w:t>particularly women with disabilities,</w:t>
      </w:r>
      <w:r w:rsidRPr="00B63B1A">
        <w:rPr>
          <w:b/>
          <w:bCs/>
        </w:rPr>
        <w:t xml:space="preserve"> in political and public life on an equal basis with others, including the right and opportunity for persons with disabilities to vote and to stand for elections</w:t>
      </w:r>
      <w:r w:rsidR="00482177" w:rsidRPr="00B63B1A">
        <w:rPr>
          <w:b/>
          <w:bCs/>
        </w:rPr>
        <w:t>, and access to high-level decision-making positions at national, region</w:t>
      </w:r>
      <w:r w:rsidR="000740CA" w:rsidRPr="00B63B1A">
        <w:rPr>
          <w:b/>
          <w:bCs/>
        </w:rPr>
        <w:t>al</w:t>
      </w:r>
      <w:r w:rsidR="00482177" w:rsidRPr="00B63B1A">
        <w:rPr>
          <w:b/>
          <w:bCs/>
        </w:rPr>
        <w:t xml:space="preserve"> and municipal levels, and increase their participation in public services by taking into account indicator 16.7.1 of the Sustainable Development Goals</w:t>
      </w:r>
      <w:r w:rsidR="006B5EE1" w:rsidRPr="00B63B1A">
        <w:rPr>
          <w:b/>
          <w:bCs/>
        </w:rPr>
        <w:t xml:space="preserve">; </w:t>
      </w:r>
    </w:p>
    <w:p w14:paraId="12ABDBB9" w14:textId="2A5CCF19" w:rsidR="006B5EE1" w:rsidRPr="00B63B1A" w:rsidRDefault="005325A0" w:rsidP="002D6CA3">
      <w:pPr>
        <w:pStyle w:val="SingleTxtG"/>
        <w:ind w:firstLine="567"/>
        <w:rPr>
          <w:b/>
          <w:bCs/>
        </w:rPr>
      </w:pPr>
      <w:r w:rsidRPr="00B63B1A">
        <w:rPr>
          <w:b/>
          <w:bCs/>
        </w:rPr>
        <w:tab/>
      </w:r>
      <w:r w:rsidR="006B5EE1" w:rsidRPr="00B63B1A">
        <w:rPr>
          <w:b/>
          <w:bCs/>
        </w:rPr>
        <w:t>(</w:t>
      </w:r>
      <w:r w:rsidRPr="00B63B1A">
        <w:rPr>
          <w:b/>
          <w:bCs/>
        </w:rPr>
        <w:t>b</w:t>
      </w:r>
      <w:r w:rsidR="006B5EE1" w:rsidRPr="00B63B1A">
        <w:rPr>
          <w:b/>
          <w:bCs/>
        </w:rPr>
        <w:t>)</w:t>
      </w:r>
      <w:r w:rsidR="006B5EE1" w:rsidRPr="00B63B1A">
        <w:rPr>
          <w:b/>
          <w:bCs/>
        </w:rPr>
        <w:tab/>
        <w:t xml:space="preserve">Ensure the accessibility of voting material and polling stations, in particular in </w:t>
      </w:r>
      <w:r w:rsidR="0000367D" w:rsidRPr="00B63B1A">
        <w:rPr>
          <w:b/>
          <w:bCs/>
        </w:rPr>
        <w:t>remote a</w:t>
      </w:r>
      <w:r w:rsidR="006B5EE1" w:rsidRPr="00B63B1A">
        <w:rPr>
          <w:b/>
          <w:bCs/>
        </w:rPr>
        <w:t xml:space="preserve">reas, across the </w:t>
      </w:r>
      <w:r w:rsidR="0000367D" w:rsidRPr="00B63B1A">
        <w:rPr>
          <w:b/>
          <w:bCs/>
        </w:rPr>
        <w:t>regions and the municipalities</w:t>
      </w:r>
      <w:r w:rsidR="006B5EE1" w:rsidRPr="00B63B1A">
        <w:rPr>
          <w:b/>
          <w:bCs/>
        </w:rPr>
        <w:t>,</w:t>
      </w:r>
      <w:r w:rsidR="0000367D" w:rsidRPr="00B63B1A">
        <w:rPr>
          <w:b/>
          <w:bCs/>
        </w:rPr>
        <w:t xml:space="preserve"> as well as of election campaigns, including by applying support measures</w:t>
      </w:r>
      <w:r w:rsidR="000740CA" w:rsidRPr="00B63B1A">
        <w:rPr>
          <w:b/>
          <w:bCs/>
        </w:rPr>
        <w:t xml:space="preserve"> for persons</w:t>
      </w:r>
      <w:r w:rsidR="0000367D" w:rsidRPr="00B63B1A">
        <w:rPr>
          <w:b/>
          <w:bCs/>
        </w:rPr>
        <w:t xml:space="preserve"> with intellectual disabilities through alternative and augmentative modes of information</w:t>
      </w:r>
      <w:r w:rsidR="006B5EE1" w:rsidRPr="00B63B1A">
        <w:rPr>
          <w:b/>
          <w:bCs/>
        </w:rPr>
        <w:t xml:space="preserve">. </w:t>
      </w:r>
    </w:p>
    <w:p w14:paraId="6618F922" w14:textId="77777777" w:rsidR="006B5EE1" w:rsidRPr="00B63B1A" w:rsidRDefault="006B5EE1" w:rsidP="006B5EE1">
      <w:pPr>
        <w:pStyle w:val="H23G"/>
      </w:pPr>
      <w:r w:rsidRPr="00B63B1A">
        <w:tab/>
      </w:r>
      <w:r w:rsidRPr="00B63B1A">
        <w:tab/>
        <w:t xml:space="preserve">Participation in cultural life, recreation, </w:t>
      </w:r>
      <w:proofErr w:type="gramStart"/>
      <w:r w:rsidRPr="00B63B1A">
        <w:t>leisure</w:t>
      </w:r>
      <w:proofErr w:type="gramEnd"/>
      <w:r w:rsidRPr="00B63B1A">
        <w:t xml:space="preserve"> and sport (art. 30)</w:t>
      </w:r>
    </w:p>
    <w:p w14:paraId="2A781ADE" w14:textId="5486C1A0" w:rsidR="006B5EE1" w:rsidRPr="00B63B1A" w:rsidRDefault="006B5EE1" w:rsidP="00B71AB5">
      <w:pPr>
        <w:pStyle w:val="SingleTxtG"/>
      </w:pPr>
      <w:r w:rsidRPr="00B63B1A">
        <w:t>6</w:t>
      </w:r>
      <w:r w:rsidR="00EC12F7" w:rsidRPr="00B63B1A">
        <w:t>5</w:t>
      </w:r>
      <w:r w:rsidRPr="00B63B1A">
        <w:t>.</w:t>
      </w:r>
      <w:r w:rsidRPr="00B63B1A">
        <w:tab/>
        <w:t>The Committee is concerned about</w:t>
      </w:r>
      <w:r w:rsidR="00B71AB5" w:rsidRPr="00B63B1A">
        <w:t xml:space="preserve"> the barriers to access to recreational, leisure and sport activities for persons with disabilities, particularly persons with intellectual and/or psychosocial disabilities</w:t>
      </w:r>
      <w:r w:rsidR="00C12203" w:rsidRPr="00B63B1A">
        <w:t xml:space="preserve"> and children with disabilities</w:t>
      </w:r>
      <w:r w:rsidR="00B71AB5" w:rsidRPr="00B63B1A">
        <w:t xml:space="preserve">. </w:t>
      </w:r>
      <w:bookmarkStart w:id="2" w:name="_Hlk144719678"/>
    </w:p>
    <w:bookmarkEnd w:id="2"/>
    <w:p w14:paraId="5CAB7CC8" w14:textId="5C35E593" w:rsidR="006B5EE1" w:rsidRPr="00B63B1A" w:rsidRDefault="006B5EE1" w:rsidP="006B5EE1">
      <w:pPr>
        <w:pStyle w:val="SingleTxtG"/>
        <w:rPr>
          <w:b/>
          <w:bCs/>
        </w:rPr>
      </w:pPr>
      <w:r w:rsidRPr="00B63B1A">
        <w:t>6</w:t>
      </w:r>
      <w:r w:rsidR="00EC12F7" w:rsidRPr="00B63B1A">
        <w:t>6</w:t>
      </w:r>
      <w:r w:rsidRPr="00B63B1A">
        <w:t>.</w:t>
      </w:r>
      <w:r w:rsidRPr="00B63B1A">
        <w:rPr>
          <w:b/>
          <w:bCs/>
        </w:rPr>
        <w:tab/>
        <w:t>The Committee recommends that the State party</w:t>
      </w:r>
      <w:r w:rsidR="00C12203" w:rsidRPr="00B63B1A">
        <w:rPr>
          <w:b/>
          <w:bCs/>
        </w:rPr>
        <w:t>, in close consultation and active involvement of persons with disabilities and their representative organizations</w:t>
      </w:r>
      <w:r w:rsidRPr="00B63B1A">
        <w:rPr>
          <w:b/>
          <w:bCs/>
        </w:rPr>
        <w:t>:</w:t>
      </w:r>
    </w:p>
    <w:p w14:paraId="39DEDF18" w14:textId="76B885E3" w:rsidR="006B5EE1" w:rsidRPr="00B63B1A" w:rsidRDefault="00C12203" w:rsidP="002D6CA3">
      <w:pPr>
        <w:pStyle w:val="SingleTxtG"/>
        <w:ind w:firstLine="567"/>
        <w:rPr>
          <w:b/>
          <w:bCs/>
        </w:rPr>
      </w:pPr>
      <w:r w:rsidRPr="00B63B1A">
        <w:rPr>
          <w:b/>
          <w:bCs/>
        </w:rPr>
        <w:tab/>
      </w:r>
      <w:r w:rsidR="006B5EE1" w:rsidRPr="00B63B1A">
        <w:rPr>
          <w:b/>
          <w:bCs/>
        </w:rPr>
        <w:t>(a)</w:t>
      </w:r>
      <w:r w:rsidR="006B5EE1" w:rsidRPr="00B63B1A">
        <w:rPr>
          <w:b/>
          <w:bCs/>
        </w:rPr>
        <w:tab/>
        <w:t xml:space="preserve">Strengthen mechanisms to ensure that sporting, recreational, cultural and </w:t>
      </w:r>
      <w:r w:rsidRPr="00B63B1A">
        <w:rPr>
          <w:b/>
          <w:bCs/>
        </w:rPr>
        <w:t>leisure activities</w:t>
      </w:r>
      <w:r w:rsidR="006B5EE1" w:rsidRPr="00B63B1A">
        <w:rPr>
          <w:b/>
          <w:bCs/>
        </w:rPr>
        <w:t xml:space="preserve"> are accessible for persons with </w:t>
      </w:r>
      <w:proofErr w:type="gramStart"/>
      <w:r w:rsidR="006B5EE1" w:rsidRPr="00B63B1A">
        <w:rPr>
          <w:b/>
          <w:bCs/>
        </w:rPr>
        <w:t>disabilities;</w:t>
      </w:r>
      <w:proofErr w:type="gramEnd"/>
    </w:p>
    <w:p w14:paraId="3733C856" w14:textId="58138B9E" w:rsidR="006B5EE1" w:rsidRPr="00B63B1A" w:rsidRDefault="00C12203" w:rsidP="002D6CA3">
      <w:pPr>
        <w:pStyle w:val="SingleTxtG"/>
        <w:ind w:firstLine="567"/>
        <w:rPr>
          <w:b/>
          <w:bCs/>
        </w:rPr>
      </w:pPr>
      <w:r w:rsidRPr="00B63B1A">
        <w:rPr>
          <w:b/>
          <w:bCs/>
        </w:rPr>
        <w:tab/>
      </w:r>
      <w:r w:rsidR="006B5EE1" w:rsidRPr="00B63B1A">
        <w:rPr>
          <w:b/>
          <w:bCs/>
        </w:rPr>
        <w:t>(b)</w:t>
      </w:r>
      <w:r w:rsidR="006B5EE1" w:rsidRPr="00B63B1A">
        <w:rPr>
          <w:b/>
          <w:bCs/>
        </w:rPr>
        <w:tab/>
        <w:t>Ensure that persons with disabilities have access to personal assistance at no cost to practise sport and attend cultural and social activities</w:t>
      </w:r>
      <w:bookmarkStart w:id="3" w:name="_Hlk144719697"/>
      <w:r w:rsidR="006B5EE1" w:rsidRPr="00B63B1A">
        <w:rPr>
          <w:b/>
          <w:bCs/>
        </w:rPr>
        <w:t>.</w:t>
      </w:r>
    </w:p>
    <w:bookmarkEnd w:id="3"/>
    <w:p w14:paraId="58994BD4" w14:textId="77777777" w:rsidR="006B5EE1" w:rsidRPr="00B63B1A" w:rsidRDefault="006B5EE1" w:rsidP="006B5EE1">
      <w:pPr>
        <w:pStyle w:val="H1G"/>
      </w:pPr>
      <w:r w:rsidRPr="00B63B1A">
        <w:tab/>
        <w:t>C.</w:t>
      </w:r>
      <w:r w:rsidRPr="00B63B1A">
        <w:tab/>
        <w:t>Specific obligations (arts. 31–33)</w:t>
      </w:r>
    </w:p>
    <w:p w14:paraId="0BFEF3E3" w14:textId="77777777" w:rsidR="006B5EE1" w:rsidRPr="00B63B1A" w:rsidRDefault="006B5EE1" w:rsidP="006B5EE1">
      <w:pPr>
        <w:pStyle w:val="H23G"/>
      </w:pPr>
      <w:r w:rsidRPr="00B63B1A">
        <w:tab/>
      </w:r>
      <w:r w:rsidRPr="00B63B1A">
        <w:tab/>
        <w:t>Statistics and data collection (art. 31)</w:t>
      </w:r>
    </w:p>
    <w:p w14:paraId="4DB8F05B" w14:textId="53229F66" w:rsidR="000B1740" w:rsidRPr="00B63B1A" w:rsidRDefault="000B1740" w:rsidP="000B1740">
      <w:pPr>
        <w:pStyle w:val="SingleTxtG"/>
      </w:pPr>
      <w:r w:rsidRPr="00B63B1A">
        <w:t>67.</w:t>
      </w:r>
      <w:r w:rsidRPr="00B63B1A">
        <w:tab/>
        <w:t xml:space="preserve">The Committee </w:t>
      </w:r>
      <w:r w:rsidR="00BB73D0" w:rsidRPr="00B63B1A">
        <w:t xml:space="preserve">notes that Statistics Sweden carries out surveys on living conditions on an annual basis. However, it </w:t>
      </w:r>
      <w:r w:rsidRPr="00B63B1A">
        <w:t>is concerned:</w:t>
      </w:r>
    </w:p>
    <w:p w14:paraId="4AE9B836" w14:textId="77749401" w:rsidR="000B1740" w:rsidRPr="00B63B1A" w:rsidRDefault="000B1740" w:rsidP="00233E84">
      <w:pPr>
        <w:pStyle w:val="SingleTxtG"/>
        <w:ind w:firstLine="567"/>
      </w:pPr>
      <w:r w:rsidRPr="00B63B1A">
        <w:tab/>
        <w:t>(a)</w:t>
      </w:r>
      <w:r w:rsidRPr="00B63B1A">
        <w:tab/>
        <w:t xml:space="preserve">At the shortcomings in the collection and publication of data on the situation of persons with disabilities across all areas of life, including living conditions, health, education, employment, social protection and the justice </w:t>
      </w:r>
      <w:proofErr w:type="gramStart"/>
      <w:r w:rsidRPr="00B63B1A">
        <w:t>system;</w:t>
      </w:r>
      <w:proofErr w:type="gramEnd"/>
      <w:r w:rsidRPr="00B63B1A">
        <w:t xml:space="preserve"> </w:t>
      </w:r>
    </w:p>
    <w:p w14:paraId="034CD1B4" w14:textId="1AB51B9C" w:rsidR="000B1740" w:rsidRPr="00B63B1A" w:rsidRDefault="000B1740" w:rsidP="000B1740">
      <w:pPr>
        <w:pStyle w:val="SingleTxtG"/>
        <w:ind w:firstLine="567"/>
      </w:pPr>
      <w:r w:rsidRPr="00B63B1A">
        <w:t>(b)</w:t>
      </w:r>
      <w:r w:rsidRPr="00B63B1A">
        <w:tab/>
        <w:t xml:space="preserve">At the lack of disaggregated data, including in relation to persons with disabilities facing multiple and intersecting forms of discrimination, such as lesbian, gay, bisexual, transgender and intersex persons with disabilities, </w:t>
      </w:r>
      <w:r w:rsidR="00B7306A" w:rsidRPr="00B63B1A">
        <w:t xml:space="preserve">national minority persons with disabilities, </w:t>
      </w:r>
      <w:r w:rsidRPr="00B63B1A">
        <w:t>migrant persons with disabilities, including refugees, asylum-seekers, and persons with disabilities under temporary protection, and children with disabilities, women and girls with disabilities</w:t>
      </w:r>
      <w:r w:rsidR="000740CA" w:rsidRPr="00B63B1A">
        <w:t>,</w:t>
      </w:r>
      <w:r w:rsidRPr="00B63B1A">
        <w:t xml:space="preserve"> as well as persons with disabilities in institutions; </w:t>
      </w:r>
    </w:p>
    <w:p w14:paraId="351590F3" w14:textId="77777777" w:rsidR="000B1740" w:rsidRPr="00B63B1A" w:rsidRDefault="000B1740" w:rsidP="000B1740">
      <w:pPr>
        <w:pStyle w:val="SingleTxtG"/>
        <w:ind w:firstLine="567"/>
      </w:pPr>
      <w:r w:rsidRPr="00B63B1A">
        <w:t>(c)</w:t>
      </w:r>
      <w:r w:rsidRPr="00B63B1A">
        <w:tab/>
        <w:t>The lack of involvement of persons with disabilities and their representative organizations in the development of indicators for the monitoring of implementation of the disability related policies and programmes.</w:t>
      </w:r>
    </w:p>
    <w:p w14:paraId="17669AB7" w14:textId="271B59E3" w:rsidR="000B1740" w:rsidRPr="00B63B1A" w:rsidRDefault="000B1740" w:rsidP="000B1740">
      <w:pPr>
        <w:pStyle w:val="SingleTxtG"/>
        <w:rPr>
          <w:b/>
          <w:bCs/>
        </w:rPr>
      </w:pPr>
      <w:r w:rsidRPr="00B63B1A">
        <w:t>68.</w:t>
      </w:r>
      <w:r w:rsidRPr="00B63B1A">
        <w:rPr>
          <w:b/>
          <w:bCs/>
        </w:rPr>
        <w:tab/>
        <w:t xml:space="preserve">Recalling the Washington Group short set of questions on disability and the Development Assistance Committee of the Organization for Economic Cooperation and Development Policy marker on the inclusion and empowerment of persons with disabilities, the Committee recommends that the State party, in close consultations and active involvement of persons with disabilities through their representative organizations, ensure appropriate, nationally consistent measures for the collection, implementation and public reporting of disaggregated data on the situation of persons with disabilities, in particularly persons with disabilities facing multiple and intersecting forms of discrimination, including lesbian, gay, bisexual, transgender and intersex persons with disabilities, </w:t>
      </w:r>
      <w:r w:rsidR="00FF41E3" w:rsidRPr="00B63B1A">
        <w:rPr>
          <w:b/>
          <w:bCs/>
        </w:rPr>
        <w:t xml:space="preserve">national minority persons with disabilities, </w:t>
      </w:r>
      <w:r w:rsidRPr="00B63B1A">
        <w:rPr>
          <w:b/>
          <w:bCs/>
        </w:rPr>
        <w:t>migrant persons with disabilities, such as refugees, asylum-seekers, and persons with disabilities under temporary protection, children with disabilities, women and girls with disabilities and persons with disabilities in institutions.</w:t>
      </w:r>
    </w:p>
    <w:p w14:paraId="564A2031" w14:textId="77777777" w:rsidR="000B1740" w:rsidRPr="00B63B1A" w:rsidRDefault="000B1740" w:rsidP="000B1740">
      <w:pPr>
        <w:pStyle w:val="H23G"/>
      </w:pPr>
      <w:r w:rsidRPr="00B63B1A">
        <w:lastRenderedPageBreak/>
        <w:tab/>
      </w:r>
      <w:r w:rsidRPr="00B63B1A">
        <w:tab/>
        <w:t>International cooperation (art. 32)</w:t>
      </w:r>
    </w:p>
    <w:p w14:paraId="74C1DD1A" w14:textId="26E15290" w:rsidR="000B1740" w:rsidRPr="00B63B1A" w:rsidRDefault="000B1740" w:rsidP="000B1740">
      <w:pPr>
        <w:pStyle w:val="SingleTxtG"/>
      </w:pPr>
      <w:r w:rsidRPr="00B63B1A">
        <w:t>69.</w:t>
      </w:r>
      <w:r w:rsidRPr="00B63B1A">
        <w:tab/>
      </w:r>
      <w:bookmarkStart w:id="4" w:name="_Hlk161924515"/>
      <w:r w:rsidRPr="00B63B1A">
        <w:t xml:space="preserve">The Committee </w:t>
      </w:r>
      <w:r w:rsidR="00BB73D0" w:rsidRPr="00B63B1A">
        <w:t xml:space="preserve">acknowledges the high overall budget of the State party for international development. However, it </w:t>
      </w:r>
      <w:r w:rsidRPr="00B63B1A">
        <w:t>is concerned:</w:t>
      </w:r>
      <w:bookmarkEnd w:id="4"/>
    </w:p>
    <w:p w14:paraId="4C4C1E76" w14:textId="5486093A" w:rsidR="000B1740" w:rsidRPr="00B63B1A" w:rsidRDefault="000B1740" w:rsidP="00233E84">
      <w:pPr>
        <w:pStyle w:val="SingleTxtG"/>
        <w:ind w:firstLine="567"/>
      </w:pPr>
      <w:r w:rsidRPr="00B63B1A">
        <w:tab/>
        <w:t>(a)</w:t>
      </w:r>
      <w:r w:rsidRPr="00B63B1A">
        <w:tab/>
      </w:r>
      <w:bookmarkStart w:id="5" w:name="_Hlk161924507"/>
      <w:r w:rsidRPr="00B63B1A">
        <w:t xml:space="preserve">About budgetary limitations adopted in November 2022 for international development which have had a negative impact on disability-specific projects in developing </w:t>
      </w:r>
      <w:proofErr w:type="gramStart"/>
      <w:r w:rsidRPr="00B63B1A">
        <w:t>countries;</w:t>
      </w:r>
      <w:bookmarkEnd w:id="5"/>
      <w:proofErr w:type="gramEnd"/>
    </w:p>
    <w:p w14:paraId="1F3983FD" w14:textId="6A67D630" w:rsidR="000B1740" w:rsidRPr="00B63B1A" w:rsidRDefault="000B1740" w:rsidP="00233E84">
      <w:pPr>
        <w:pStyle w:val="SingleTxtG"/>
        <w:ind w:firstLine="567"/>
      </w:pPr>
      <w:r w:rsidRPr="00B63B1A">
        <w:tab/>
        <w:t>(b)</w:t>
      </w:r>
      <w:r w:rsidRPr="00B63B1A">
        <w:tab/>
        <w:t>That disability-related measures are not included in the humanitarian aid strategy provided through the Swedish International Development Cooperation Agency (SIDA).</w:t>
      </w:r>
    </w:p>
    <w:p w14:paraId="7C8942B2" w14:textId="77777777" w:rsidR="000B1740" w:rsidRPr="00B63B1A" w:rsidRDefault="000B1740" w:rsidP="000B1740">
      <w:pPr>
        <w:pStyle w:val="SingleTxtG"/>
        <w:rPr>
          <w:b/>
          <w:bCs/>
        </w:rPr>
      </w:pPr>
      <w:r w:rsidRPr="00B63B1A">
        <w:t>70.</w:t>
      </w:r>
      <w:r w:rsidRPr="00B63B1A">
        <w:rPr>
          <w:b/>
          <w:bCs/>
        </w:rPr>
        <w:tab/>
        <w:t>The Committee recommends that the State party:</w:t>
      </w:r>
    </w:p>
    <w:p w14:paraId="38D092F0" w14:textId="343DEB67" w:rsidR="000B1740" w:rsidRPr="00B63B1A" w:rsidRDefault="000B1740" w:rsidP="00233E84">
      <w:pPr>
        <w:pStyle w:val="SingleTxtG"/>
        <w:ind w:firstLine="567"/>
        <w:rPr>
          <w:b/>
          <w:bCs/>
        </w:rPr>
      </w:pPr>
      <w:r w:rsidRPr="00B63B1A">
        <w:rPr>
          <w:b/>
          <w:bCs/>
        </w:rPr>
        <w:tab/>
        <w:t>(a)</w:t>
      </w:r>
      <w:r w:rsidRPr="00B63B1A">
        <w:rPr>
          <w:b/>
          <w:bCs/>
        </w:rPr>
        <w:tab/>
        <w:t xml:space="preserve">Ensure the allocation of sufficient financial resources for international development of disability-specific measures and guarantee that inclusion is a precondition for the approval of projects funded as part of international cooperation </w:t>
      </w:r>
      <w:proofErr w:type="gramStart"/>
      <w:r w:rsidRPr="00B63B1A">
        <w:rPr>
          <w:b/>
          <w:bCs/>
        </w:rPr>
        <w:t>programmes;</w:t>
      </w:r>
      <w:proofErr w:type="gramEnd"/>
    </w:p>
    <w:p w14:paraId="34A1C6CC" w14:textId="31D90D3C" w:rsidR="000B1740" w:rsidRPr="00B63B1A" w:rsidRDefault="000B1740" w:rsidP="00233E84">
      <w:pPr>
        <w:pStyle w:val="SingleTxtG"/>
        <w:ind w:firstLine="567"/>
        <w:rPr>
          <w:b/>
          <w:bCs/>
        </w:rPr>
      </w:pPr>
      <w:r w:rsidRPr="00B63B1A">
        <w:rPr>
          <w:b/>
          <w:bCs/>
        </w:rPr>
        <w:tab/>
        <w:t>(b)</w:t>
      </w:r>
      <w:r w:rsidRPr="00B63B1A">
        <w:rPr>
          <w:b/>
          <w:bCs/>
        </w:rPr>
        <w:tab/>
        <w:t xml:space="preserve">Ensure that disability-related measures are included in all humanitarian aid strategies, including in those provided by Swedish International Development Cooperation Agency (SIDA). </w:t>
      </w:r>
    </w:p>
    <w:p w14:paraId="30BC63FE" w14:textId="14AB802A" w:rsidR="000B1740" w:rsidRPr="00B63B1A" w:rsidRDefault="000B1740" w:rsidP="00C37876">
      <w:pPr>
        <w:pStyle w:val="H23G"/>
      </w:pPr>
      <w:r w:rsidRPr="00B63B1A">
        <w:tab/>
      </w:r>
      <w:r w:rsidRPr="00B63B1A">
        <w:tab/>
        <w:t>National implementation and monitoring (art. 33)</w:t>
      </w:r>
    </w:p>
    <w:p w14:paraId="4654CAC9" w14:textId="226B0F08" w:rsidR="000B1740" w:rsidRPr="00B63B1A" w:rsidRDefault="000B1740" w:rsidP="000B1740">
      <w:pPr>
        <w:pStyle w:val="SingleTxtG"/>
      </w:pPr>
      <w:r w:rsidRPr="00B63B1A">
        <w:t>7</w:t>
      </w:r>
      <w:r w:rsidR="00BB73D0" w:rsidRPr="00B63B1A">
        <w:t>1</w:t>
      </w:r>
      <w:r w:rsidRPr="00B63B1A">
        <w:t>.</w:t>
      </w:r>
      <w:r w:rsidRPr="00B63B1A">
        <w:tab/>
        <w:t>The Committee notes with appreciation the establishment of the Swedish Institute for Human Rights in January 2022 as a monitoring mechanism and its application for membership in the Global Alliance for National Human Rights Institutions (GANHRI). However, the Committee is concerned that the Institute deems the probability to be afforded “A”-status “good, but not certain”, and lists concerns about the financing, appointment, remuneration and dismissal criteria for board members.</w:t>
      </w:r>
    </w:p>
    <w:p w14:paraId="3DF44DBF" w14:textId="4EADB14A" w:rsidR="000B1740" w:rsidRPr="00B63B1A" w:rsidRDefault="000B1740" w:rsidP="000B1740">
      <w:pPr>
        <w:pStyle w:val="SingleTxtG"/>
        <w:rPr>
          <w:b/>
          <w:bCs/>
        </w:rPr>
      </w:pPr>
      <w:r w:rsidRPr="00B63B1A">
        <w:t>7</w:t>
      </w:r>
      <w:r w:rsidR="00BB73D0" w:rsidRPr="00B63B1A">
        <w:t>2</w:t>
      </w:r>
      <w:r w:rsidRPr="00B63B1A">
        <w:t>.</w:t>
      </w:r>
      <w:r w:rsidRPr="00B63B1A">
        <w:tab/>
      </w:r>
      <w:r w:rsidRPr="00B63B1A">
        <w:rPr>
          <w:b/>
          <w:bCs/>
        </w:rPr>
        <w:t xml:space="preserve">The Committee recommends that the State party ensure that the National Human Rights Institute is provided with adequate financial, </w:t>
      </w:r>
      <w:proofErr w:type="gramStart"/>
      <w:r w:rsidRPr="00B63B1A">
        <w:rPr>
          <w:b/>
          <w:bCs/>
        </w:rPr>
        <w:t>human</w:t>
      </w:r>
      <w:proofErr w:type="gramEnd"/>
      <w:r w:rsidRPr="00B63B1A">
        <w:rPr>
          <w:b/>
          <w:bCs/>
        </w:rPr>
        <w:t xml:space="preserve"> and technical resources and a legislative and regulatory framework </w:t>
      </w:r>
      <w:r w:rsidR="00933BEE" w:rsidRPr="00B63B1A">
        <w:rPr>
          <w:b/>
          <w:bCs/>
        </w:rPr>
        <w:t>in full</w:t>
      </w:r>
      <w:r w:rsidRPr="00B63B1A">
        <w:rPr>
          <w:b/>
          <w:bCs/>
        </w:rPr>
        <w:t xml:space="preserve"> compl</w:t>
      </w:r>
      <w:r w:rsidR="00933BEE" w:rsidRPr="00B63B1A">
        <w:rPr>
          <w:b/>
          <w:bCs/>
        </w:rPr>
        <w:t>iance</w:t>
      </w:r>
      <w:r w:rsidRPr="00B63B1A">
        <w:rPr>
          <w:b/>
          <w:bCs/>
        </w:rPr>
        <w:t xml:space="preserve"> with the Principles Relating to the Status of National Institutions for the Promotion and Protection of Human Rights (the Paris Principles).</w:t>
      </w:r>
    </w:p>
    <w:p w14:paraId="60577239" w14:textId="49F7B59C" w:rsidR="000B1740" w:rsidRPr="00B63B1A" w:rsidRDefault="000B1740" w:rsidP="000B1740">
      <w:pPr>
        <w:pStyle w:val="SingleTxtG"/>
      </w:pPr>
      <w:r w:rsidRPr="00B63B1A">
        <w:t>7</w:t>
      </w:r>
      <w:r w:rsidR="00BB73D0" w:rsidRPr="00B63B1A">
        <w:t>3</w:t>
      </w:r>
      <w:r w:rsidRPr="00B63B1A">
        <w:t>.</w:t>
      </w:r>
      <w:r w:rsidRPr="00B63B1A">
        <w:tab/>
        <w:t>The Committee is concerned about the insufficient involvement and participation of persons with disabilities and their representative organizations in the monitoring process by the National Human Rights Institute.</w:t>
      </w:r>
    </w:p>
    <w:p w14:paraId="59763F18" w14:textId="09DCE04B" w:rsidR="006B5EE1" w:rsidRPr="00B63B1A" w:rsidRDefault="000B1740" w:rsidP="000B1740">
      <w:pPr>
        <w:pStyle w:val="SingleTxtG"/>
        <w:rPr>
          <w:b/>
          <w:bCs/>
        </w:rPr>
      </w:pPr>
      <w:r w:rsidRPr="00B63B1A">
        <w:t>7</w:t>
      </w:r>
      <w:r w:rsidR="00BB73D0" w:rsidRPr="00B63B1A">
        <w:t>4</w:t>
      </w:r>
      <w:r w:rsidRPr="00B63B1A">
        <w:t>.</w:t>
      </w:r>
      <w:r w:rsidRPr="00B63B1A">
        <w:tab/>
      </w:r>
      <w:r w:rsidRPr="00B63B1A">
        <w:rPr>
          <w:b/>
          <w:bCs/>
        </w:rPr>
        <w:t>The Committee recommends that the National Human Rights Institute establish procedures and protocols for the involvement and full participation of persons with disabilities and their representative organizations in its monitoring processes.</w:t>
      </w:r>
    </w:p>
    <w:p w14:paraId="285F6CCA" w14:textId="77777777" w:rsidR="006B5EE1" w:rsidRPr="00B63B1A" w:rsidRDefault="006B5EE1" w:rsidP="006B5EE1">
      <w:pPr>
        <w:pStyle w:val="HChG"/>
      </w:pPr>
      <w:r w:rsidRPr="00B63B1A">
        <w:tab/>
        <w:t>IV.</w:t>
      </w:r>
      <w:r w:rsidRPr="00B63B1A">
        <w:tab/>
        <w:t>Follow-up</w:t>
      </w:r>
    </w:p>
    <w:p w14:paraId="6FDD3887" w14:textId="77777777" w:rsidR="006B5EE1" w:rsidRPr="00B63B1A" w:rsidRDefault="006B5EE1" w:rsidP="006B5EE1">
      <w:pPr>
        <w:pStyle w:val="H23G"/>
      </w:pPr>
      <w:r w:rsidRPr="00B63B1A">
        <w:tab/>
      </w:r>
      <w:r w:rsidRPr="00B63B1A">
        <w:tab/>
      </w:r>
      <w:r w:rsidRPr="00B63B1A">
        <w:tab/>
        <w:t>Dissemination of information</w:t>
      </w:r>
    </w:p>
    <w:p w14:paraId="14CE8742" w14:textId="206964A7" w:rsidR="006B5EE1" w:rsidRPr="00B63B1A" w:rsidRDefault="006B5EE1" w:rsidP="006B5EE1">
      <w:pPr>
        <w:pStyle w:val="SingleTxtG"/>
      </w:pPr>
      <w:r w:rsidRPr="00B63B1A">
        <w:t>7</w:t>
      </w:r>
      <w:r w:rsidR="00BB73D0" w:rsidRPr="00B63B1A">
        <w:t>5</w:t>
      </w:r>
      <w:r w:rsidRPr="00B63B1A">
        <w:t>.</w:t>
      </w:r>
      <w:r w:rsidRPr="00B63B1A">
        <w:tab/>
      </w:r>
      <w:r w:rsidRPr="00B63B1A">
        <w:rPr>
          <w:b/>
          <w:bCs/>
        </w:rPr>
        <w:t>The Committee emphasizes the importance of all the recommendations contained in the present concluding observations. With regard to urgent measures that must be taken, the Committee would like to draw the State party’s attention to the recommendations contained in paragraphs</w:t>
      </w:r>
      <w:r w:rsidR="00933BEE" w:rsidRPr="00B63B1A">
        <w:rPr>
          <w:b/>
          <w:bCs/>
        </w:rPr>
        <w:t xml:space="preserve"> 6 </w:t>
      </w:r>
      <w:r w:rsidR="003C5136" w:rsidRPr="00B63B1A">
        <w:rPr>
          <w:b/>
          <w:bCs/>
        </w:rPr>
        <w:t xml:space="preserve">(on general obligations), </w:t>
      </w:r>
      <w:r w:rsidR="00933BEE" w:rsidRPr="00B63B1A">
        <w:rPr>
          <w:b/>
          <w:bCs/>
        </w:rPr>
        <w:t>14</w:t>
      </w:r>
      <w:r w:rsidR="003C5136" w:rsidRPr="00B63B1A">
        <w:rPr>
          <w:b/>
          <w:bCs/>
        </w:rPr>
        <w:t xml:space="preserve"> (on equality and non-discrimination)</w:t>
      </w:r>
      <w:r w:rsidR="00933BEE" w:rsidRPr="00B63B1A">
        <w:rPr>
          <w:b/>
          <w:bCs/>
        </w:rPr>
        <w:t xml:space="preserve">, 44 </w:t>
      </w:r>
      <w:r w:rsidR="003C5136" w:rsidRPr="00B63B1A">
        <w:rPr>
          <w:b/>
          <w:bCs/>
        </w:rPr>
        <w:t>(</w:t>
      </w:r>
      <w:r w:rsidR="00933BEE" w:rsidRPr="00B63B1A">
        <w:rPr>
          <w:b/>
          <w:bCs/>
        </w:rPr>
        <w:t>on living independently and being included in the community</w:t>
      </w:r>
      <w:r w:rsidR="003C5136" w:rsidRPr="00B63B1A">
        <w:rPr>
          <w:b/>
          <w:bCs/>
        </w:rPr>
        <w:t>)</w:t>
      </w:r>
      <w:r w:rsidR="007F2CAE" w:rsidRPr="00B63B1A">
        <w:rPr>
          <w:b/>
          <w:bCs/>
        </w:rPr>
        <w:t xml:space="preserve"> </w:t>
      </w:r>
      <w:r w:rsidR="00933BEE" w:rsidRPr="00B63B1A">
        <w:rPr>
          <w:b/>
          <w:bCs/>
        </w:rPr>
        <w:t xml:space="preserve">and 54 </w:t>
      </w:r>
      <w:r w:rsidR="003C5136" w:rsidRPr="00B63B1A">
        <w:rPr>
          <w:b/>
          <w:bCs/>
        </w:rPr>
        <w:t>(</w:t>
      </w:r>
      <w:r w:rsidR="00933BEE" w:rsidRPr="00B63B1A">
        <w:rPr>
          <w:b/>
          <w:bCs/>
        </w:rPr>
        <w:t>on inclusive education</w:t>
      </w:r>
      <w:r w:rsidR="003C5136" w:rsidRPr="00B63B1A">
        <w:rPr>
          <w:b/>
          <w:bCs/>
        </w:rPr>
        <w:t>)</w:t>
      </w:r>
      <w:r w:rsidRPr="00B63B1A">
        <w:rPr>
          <w:b/>
          <w:bCs/>
        </w:rPr>
        <w:t>.</w:t>
      </w:r>
      <w:r w:rsidRPr="00B63B1A">
        <w:t xml:space="preserve"> </w:t>
      </w:r>
    </w:p>
    <w:p w14:paraId="5227BE53" w14:textId="5083F727" w:rsidR="006B5EE1" w:rsidRPr="00B63B1A" w:rsidRDefault="006B5EE1" w:rsidP="006B5EE1">
      <w:pPr>
        <w:pStyle w:val="SingleTxtG"/>
      </w:pPr>
      <w:r w:rsidRPr="00B63B1A">
        <w:t>7</w:t>
      </w:r>
      <w:r w:rsidR="00BB73D0" w:rsidRPr="00B63B1A">
        <w:t>6</w:t>
      </w:r>
      <w:r w:rsidRPr="00B63B1A">
        <w:t>.</w:t>
      </w:r>
      <w:r w:rsidRPr="00B63B1A">
        <w:tab/>
      </w:r>
      <w:r w:rsidRPr="00B63B1A">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w:t>
      </w:r>
      <w:proofErr w:type="gramStart"/>
      <w:r w:rsidRPr="00B63B1A">
        <w:rPr>
          <w:b/>
          <w:bCs/>
        </w:rPr>
        <w:t>authorities</w:t>
      </w:r>
      <w:proofErr w:type="gramEnd"/>
      <w:r w:rsidRPr="00B63B1A">
        <w:rPr>
          <w:b/>
          <w:bCs/>
        </w:rPr>
        <w:t xml:space="preserve"> and members of relevant professional groups, such as education, medical and legal professionals, as well as to the media, using modern social communication strategies.</w:t>
      </w:r>
    </w:p>
    <w:p w14:paraId="59BD5DB4" w14:textId="6B770784" w:rsidR="006B5EE1" w:rsidRPr="00B63B1A" w:rsidRDefault="006B5EE1" w:rsidP="006B5EE1">
      <w:pPr>
        <w:kinsoku w:val="0"/>
        <w:overflowPunct w:val="0"/>
        <w:autoSpaceDE w:val="0"/>
        <w:autoSpaceDN w:val="0"/>
        <w:adjustRightInd w:val="0"/>
        <w:snapToGrid w:val="0"/>
        <w:spacing w:after="120"/>
        <w:ind w:left="1134" w:right="1134"/>
        <w:jc w:val="both"/>
        <w:rPr>
          <w:rStyle w:val="SingleTxtGChar"/>
          <w:b/>
          <w:bCs/>
        </w:rPr>
      </w:pPr>
      <w:r w:rsidRPr="00B63B1A">
        <w:rPr>
          <w:rFonts w:eastAsia="Calibri"/>
        </w:rPr>
        <w:lastRenderedPageBreak/>
        <w:t>7</w:t>
      </w:r>
      <w:r w:rsidR="00BB73D0" w:rsidRPr="00B63B1A">
        <w:rPr>
          <w:rFonts w:eastAsia="Calibri"/>
        </w:rPr>
        <w:t>7</w:t>
      </w:r>
      <w:r w:rsidRPr="00B63B1A">
        <w:rPr>
          <w:rFonts w:eastAsia="Calibri"/>
        </w:rPr>
        <w:t>.</w:t>
      </w:r>
      <w:r w:rsidRPr="00B63B1A">
        <w:rPr>
          <w:rFonts w:eastAsia="Calibri"/>
        </w:rPr>
        <w:tab/>
      </w:r>
      <w:r w:rsidRPr="00B63B1A">
        <w:rPr>
          <w:rStyle w:val="SingleTxtGChar"/>
          <w:b/>
          <w:bCs/>
        </w:rPr>
        <w:t>The Committee strongly encourages the State party to involve civil society organizations, in particular organizations of persons with disabilities, in the preparation of its periodic report.</w:t>
      </w:r>
    </w:p>
    <w:p w14:paraId="50C09D47" w14:textId="2576B86E" w:rsidR="006B5EE1" w:rsidRPr="00B63B1A" w:rsidRDefault="00BB73D0" w:rsidP="006B5EE1">
      <w:pPr>
        <w:kinsoku w:val="0"/>
        <w:overflowPunct w:val="0"/>
        <w:autoSpaceDE w:val="0"/>
        <w:autoSpaceDN w:val="0"/>
        <w:adjustRightInd w:val="0"/>
        <w:snapToGrid w:val="0"/>
        <w:spacing w:after="120"/>
        <w:ind w:left="1134" w:right="1134"/>
        <w:jc w:val="both"/>
        <w:rPr>
          <w:rStyle w:val="SingleTxtGChar"/>
          <w:b/>
          <w:bCs/>
        </w:rPr>
      </w:pPr>
      <w:r w:rsidRPr="00B63B1A">
        <w:rPr>
          <w:rFonts w:eastAsia="Calibri"/>
        </w:rPr>
        <w:t>78</w:t>
      </w:r>
      <w:r w:rsidR="006B5EE1" w:rsidRPr="00B63B1A">
        <w:rPr>
          <w:rFonts w:eastAsia="Calibri"/>
        </w:rPr>
        <w:t>.</w:t>
      </w:r>
      <w:r w:rsidR="006B5EE1" w:rsidRPr="00B63B1A">
        <w:rPr>
          <w:rFonts w:eastAsia="Calibri"/>
        </w:rPr>
        <w:tab/>
      </w:r>
      <w:r w:rsidR="006B5EE1" w:rsidRPr="00B63B1A">
        <w:rPr>
          <w:rStyle w:val="SingleTxtGCha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085E934C" w14:textId="77777777" w:rsidR="006B5EE1" w:rsidRPr="00B63B1A" w:rsidRDefault="006B5EE1" w:rsidP="006B5EE1">
      <w:pPr>
        <w:pStyle w:val="H23G"/>
      </w:pPr>
      <w:r w:rsidRPr="00B63B1A">
        <w:tab/>
      </w:r>
      <w:r w:rsidRPr="00B63B1A">
        <w:tab/>
        <w:t>Next periodic report</w:t>
      </w:r>
    </w:p>
    <w:p w14:paraId="2F4590AB" w14:textId="4B25C0F2" w:rsidR="006B5EE1" w:rsidRPr="00B63B1A" w:rsidRDefault="00BB73D0" w:rsidP="006B5EE1">
      <w:pPr>
        <w:kinsoku w:val="0"/>
        <w:overflowPunct w:val="0"/>
        <w:autoSpaceDE w:val="0"/>
        <w:autoSpaceDN w:val="0"/>
        <w:adjustRightInd w:val="0"/>
        <w:snapToGrid w:val="0"/>
        <w:spacing w:after="120"/>
        <w:ind w:left="1134" w:right="1134"/>
        <w:jc w:val="both"/>
        <w:rPr>
          <w:rStyle w:val="SingleTxtGChar"/>
          <w:b/>
          <w:bCs/>
        </w:rPr>
      </w:pPr>
      <w:r w:rsidRPr="00B63B1A">
        <w:rPr>
          <w:rFonts w:eastAsia="Calibri"/>
        </w:rPr>
        <w:t>79</w:t>
      </w:r>
      <w:r w:rsidR="006B5EE1" w:rsidRPr="00B63B1A">
        <w:rPr>
          <w:rFonts w:eastAsia="Calibri"/>
        </w:rPr>
        <w:t>.</w:t>
      </w:r>
      <w:r w:rsidR="006B5EE1" w:rsidRPr="00B63B1A">
        <w:rPr>
          <w:rFonts w:eastAsia="Calibri"/>
        </w:rPr>
        <w:tab/>
      </w:r>
      <w:r w:rsidR="006B5EE1" w:rsidRPr="00B63B1A">
        <w:rPr>
          <w:rStyle w:val="SingleTxtGChar"/>
          <w:b/>
          <w:bCs/>
        </w:rPr>
        <w:t xml:space="preserve">The State party has opted to report under the simplified reporting procedure. The Committee will prepare a list of issues prior to reporting and request the State party to submit its replies within one year of receipt of the list of issues. The replies of the State party, expected by </w:t>
      </w:r>
      <w:r w:rsidR="0090766B" w:rsidRPr="00B63B1A">
        <w:rPr>
          <w:rStyle w:val="SingleTxtGChar"/>
          <w:b/>
          <w:bCs/>
        </w:rPr>
        <w:t>15 January</w:t>
      </w:r>
      <w:r w:rsidR="006B5EE1" w:rsidRPr="00B63B1A">
        <w:rPr>
          <w:rStyle w:val="SingleTxtGChar"/>
          <w:b/>
          <w:bCs/>
        </w:rPr>
        <w:t xml:space="preserve"> 2031, will constitute its combined fourth, fifth and sixth periodic reports.</w:t>
      </w:r>
    </w:p>
    <w:p w14:paraId="1ACBC398" w14:textId="77777777" w:rsidR="006B5EE1" w:rsidRPr="00B63B1A" w:rsidRDefault="006B5EE1" w:rsidP="006B5EE1">
      <w:pPr>
        <w:spacing w:before="240"/>
        <w:jc w:val="center"/>
        <w:rPr>
          <w:u w:val="single"/>
        </w:rPr>
      </w:pPr>
      <w:r w:rsidRPr="00B63B1A">
        <w:rPr>
          <w:u w:val="single"/>
        </w:rPr>
        <w:tab/>
      </w:r>
      <w:r w:rsidRPr="00B63B1A">
        <w:rPr>
          <w:u w:val="single"/>
        </w:rPr>
        <w:tab/>
      </w:r>
      <w:r w:rsidRPr="00B63B1A">
        <w:rPr>
          <w:u w:val="single"/>
        </w:rPr>
        <w:tab/>
      </w:r>
    </w:p>
    <w:sectPr w:rsidR="006B5EE1" w:rsidRPr="00B63B1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175EB" w14:textId="77777777" w:rsidR="00173155" w:rsidRDefault="00173155">
      <w:pPr>
        <w:spacing w:line="240" w:lineRule="auto"/>
      </w:pPr>
      <w:r>
        <w:separator/>
      </w:r>
    </w:p>
  </w:endnote>
  <w:endnote w:type="continuationSeparator" w:id="0">
    <w:p w14:paraId="6D28281C" w14:textId="77777777" w:rsidR="00173155" w:rsidRDefault="00173155">
      <w:pPr>
        <w:spacing w:line="240" w:lineRule="auto"/>
      </w:pPr>
      <w:r>
        <w:continuationSeparator/>
      </w:r>
    </w:p>
  </w:endnote>
  <w:endnote w:type="continuationNotice" w:id="1">
    <w:p w14:paraId="2BB6D603" w14:textId="77777777" w:rsidR="00173155" w:rsidRDefault="001731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736BB" w14:textId="736D4D9D" w:rsidR="00B41EEA" w:rsidRDefault="00B41EEA">
    <w:pPr>
      <w:pStyle w:val="Sidfot"/>
      <w:tabs>
        <w:tab w:val="right" w:pos="9639"/>
      </w:tabs>
    </w:pPr>
    <w:r>
      <w:rPr>
        <w:b/>
        <w:sz w:val="18"/>
      </w:rPr>
      <w:fldChar w:fldCharType="begin"/>
    </w:r>
    <w:r>
      <w:rPr>
        <w:b/>
        <w:sz w:val="18"/>
      </w:rPr>
      <w:instrText xml:space="preserve"> PAGE  \* MERGEFORMAT </w:instrText>
    </w:r>
    <w:r>
      <w:rPr>
        <w:b/>
        <w:sz w:val="18"/>
      </w:rPr>
      <w:fldChar w:fldCharType="separate"/>
    </w:r>
    <w:r w:rsidR="001D1B5A">
      <w:rPr>
        <w:b/>
        <w:noProof/>
        <w:sz w:val="18"/>
      </w:rPr>
      <w:t>8</w:t>
    </w:r>
    <w:r>
      <w:rPr>
        <w:b/>
        <w:sz w:val="18"/>
      </w:rPr>
      <w:fldChar w:fldCharType="end"/>
    </w:r>
    <w:r>
      <w:tab/>
    </w:r>
    <w:r w:rsidR="001C54BA">
      <w:t>GE.24-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5E9EA" w14:textId="479C4820" w:rsidR="00B41EEA" w:rsidRDefault="001C54BA">
    <w:pPr>
      <w:pStyle w:val="Sidfot"/>
      <w:tabs>
        <w:tab w:val="right" w:pos="9639"/>
      </w:tabs>
      <w:rPr>
        <w:sz w:val="20"/>
      </w:rPr>
    </w:pPr>
    <w:r>
      <w:t>GE.24-</w:t>
    </w:r>
    <w:r w:rsidR="00B41EEA">
      <w:tab/>
    </w:r>
    <w:r w:rsidR="00B41EEA">
      <w:rPr>
        <w:b/>
        <w:sz w:val="18"/>
      </w:rPr>
      <w:fldChar w:fldCharType="begin"/>
    </w:r>
    <w:r w:rsidR="00B41EEA">
      <w:rPr>
        <w:b/>
        <w:sz w:val="18"/>
      </w:rPr>
      <w:instrText xml:space="preserve"> PAGE  \* MERGEFORMAT </w:instrText>
    </w:r>
    <w:r w:rsidR="00B41EEA">
      <w:rPr>
        <w:b/>
        <w:sz w:val="18"/>
      </w:rPr>
      <w:fldChar w:fldCharType="separate"/>
    </w:r>
    <w:r w:rsidR="001D1B5A">
      <w:rPr>
        <w:b/>
        <w:noProof/>
        <w:sz w:val="18"/>
      </w:rPr>
      <w:t>7</w:t>
    </w:r>
    <w:r w:rsidR="00B41E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F4666" w14:textId="2468ACE4" w:rsidR="00BC779A" w:rsidRPr="00BC779A" w:rsidRDefault="00BC779A" w:rsidP="00815FC7">
    <w:pPr>
      <w:pStyle w:val="Sidfot"/>
      <w:spacing w:before="120"/>
      <w:rPr>
        <w:sz w:val="20"/>
      </w:rPr>
    </w:pPr>
    <w:r w:rsidRPr="00BC779A">
      <w:rPr>
        <w:noProof/>
        <w:sz w:val="20"/>
        <w:lang w:eastAsia="en-GB"/>
      </w:rPr>
      <w:drawing>
        <wp:anchor distT="0" distB="0" distL="114300" distR="114300" simplePos="0" relativeHeight="251658241" behindDoc="0" locked="1" layoutInCell="1" allowOverlap="1" wp14:anchorId="5613D213" wp14:editId="516EF865">
          <wp:simplePos x="0" y="0"/>
          <wp:positionH relativeFrom="column">
            <wp:posOffset>4558030</wp:posOffset>
          </wp:positionH>
          <wp:positionV relativeFrom="page">
            <wp:posOffset>10128250</wp:posOffset>
          </wp:positionV>
          <wp:extent cx="932400" cy="230400"/>
          <wp:effectExtent l="0" t="0" r="1270" b="0"/>
          <wp:wrapNone/>
          <wp:docPr id="5" name="Bildobjekt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B41EEA">
      <w:rPr>
        <w:noProof/>
        <w:sz w:val="20"/>
        <w:lang w:eastAsia="en-GB"/>
      </w:rPr>
      <w:drawing>
        <wp:anchor distT="0" distB="0" distL="114300" distR="114300" simplePos="0" relativeHeight="251658240" behindDoc="0" locked="1" layoutInCell="1" allowOverlap="1" wp14:anchorId="7AE9D6F0" wp14:editId="77E7C1AD">
          <wp:simplePos x="0" y="0"/>
          <wp:positionH relativeFrom="column">
            <wp:posOffset>5868670</wp:posOffset>
          </wp:positionH>
          <wp:positionV relativeFrom="paragraph">
            <wp:posOffset>9387840</wp:posOffset>
          </wp:positionV>
          <wp:extent cx="930275" cy="230505"/>
          <wp:effectExtent l="0" t="0" r="3175" b="0"/>
          <wp:wrapNone/>
          <wp:docPr id="7" name="Bildobjekt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48013"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w:t>
    </w:r>
    <w:r w:rsidR="00FE4BFA">
      <w:rPr>
        <w:sz w:val="20"/>
      </w:rPr>
      <w:t>4</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6D306" w14:textId="77777777" w:rsidR="00173155" w:rsidRDefault="00173155">
      <w:pPr>
        <w:spacing w:line="240" w:lineRule="auto"/>
      </w:pPr>
      <w:r>
        <w:separator/>
      </w:r>
    </w:p>
  </w:footnote>
  <w:footnote w:type="continuationSeparator" w:id="0">
    <w:p w14:paraId="78777096" w14:textId="77777777" w:rsidR="00173155" w:rsidRDefault="00173155">
      <w:pPr>
        <w:spacing w:line="240" w:lineRule="auto"/>
      </w:pPr>
      <w:r>
        <w:continuationSeparator/>
      </w:r>
    </w:p>
  </w:footnote>
  <w:footnote w:type="continuationNotice" w:id="1">
    <w:p w14:paraId="0F38F96E" w14:textId="77777777" w:rsidR="00173155" w:rsidRDefault="00173155">
      <w:pPr>
        <w:spacing w:line="240" w:lineRule="auto"/>
      </w:pPr>
    </w:p>
  </w:footnote>
  <w:footnote w:id="2">
    <w:p w14:paraId="62407185" w14:textId="77777777" w:rsidR="00815FC7" w:rsidRDefault="00815FC7" w:rsidP="00815FC7">
      <w:pPr>
        <w:pStyle w:val="Fotnotstext"/>
        <w:rPr>
          <w:lang w:eastAsia="zh-CN"/>
        </w:rPr>
      </w:pPr>
      <w:r w:rsidRPr="0026446C">
        <w:rPr>
          <w:rStyle w:val="Fotnotsreferens"/>
          <w:szCs w:val="18"/>
          <w:vertAlign w:val="baseline"/>
        </w:rPr>
        <w:tab/>
        <w:t>*</w:t>
      </w:r>
      <w:r w:rsidRPr="00FB3B03">
        <w:rPr>
          <w:szCs w:val="18"/>
        </w:rPr>
        <w:tab/>
      </w:r>
      <w:r w:rsidRPr="003471B3">
        <w:rPr>
          <w:szCs w:val="18"/>
        </w:rPr>
        <w:t>Adopted by the Committee at its t</w:t>
      </w:r>
      <w:r>
        <w:rPr>
          <w:szCs w:val="18"/>
        </w:rPr>
        <w:t>hirtieth</w:t>
      </w:r>
      <w:r w:rsidRPr="003471B3">
        <w:rPr>
          <w:szCs w:val="18"/>
        </w:rPr>
        <w:t xml:space="preserve"> session (4–</w:t>
      </w:r>
      <w:r>
        <w:rPr>
          <w:szCs w:val="18"/>
        </w:rPr>
        <w:t>22 March 2024</w:t>
      </w:r>
      <w:r w:rsidRPr="003471B3">
        <w:rPr>
          <w:szCs w:val="18"/>
        </w:rPr>
        <w:t>).</w:t>
      </w:r>
    </w:p>
  </w:footnote>
  <w:footnote w:id="3">
    <w:p w14:paraId="18188C49" w14:textId="46D5EC3E" w:rsidR="00BA45E0" w:rsidRPr="00022069" w:rsidRDefault="001661F9" w:rsidP="00BA45E0">
      <w:pPr>
        <w:pStyle w:val="Fotnotstext"/>
      </w:pPr>
      <w:r>
        <w:tab/>
      </w:r>
      <w:r w:rsidR="00BA45E0">
        <w:rPr>
          <w:rStyle w:val="Fotnotsreferens"/>
        </w:rPr>
        <w:footnoteRef/>
      </w:r>
      <w:r>
        <w:tab/>
      </w:r>
      <w:r w:rsidR="00BA45E0" w:rsidRPr="00022069">
        <w:t>CRPD/C/SWE/CO/1, para.8.</w:t>
      </w:r>
    </w:p>
  </w:footnote>
  <w:footnote w:id="4">
    <w:p w14:paraId="00CA8CBD" w14:textId="62EF508B" w:rsidR="00BA45E0" w:rsidRPr="00022069" w:rsidRDefault="001661F9" w:rsidP="00BA45E0">
      <w:pPr>
        <w:pStyle w:val="Fotnotstext"/>
      </w:pPr>
      <w:r>
        <w:tab/>
      </w:r>
      <w:r w:rsidR="00BA45E0">
        <w:rPr>
          <w:rStyle w:val="Fotnotsreferens"/>
        </w:rPr>
        <w:footnoteRef/>
      </w:r>
      <w:r>
        <w:tab/>
      </w:r>
      <w:r w:rsidR="00BA45E0" w:rsidRPr="00022069">
        <w:t>CRPD/C/SWE/CO/1, para.14.</w:t>
      </w:r>
    </w:p>
  </w:footnote>
  <w:footnote w:id="5">
    <w:p w14:paraId="7585D552" w14:textId="74C6343D" w:rsidR="00BA45E0" w:rsidRPr="00B72CEC" w:rsidRDefault="001661F9" w:rsidP="00BA45E0">
      <w:pPr>
        <w:pStyle w:val="Fotnotstext"/>
      </w:pPr>
      <w:r>
        <w:tab/>
      </w:r>
      <w:r w:rsidR="00BA45E0">
        <w:rPr>
          <w:rStyle w:val="Fotnotsreferens"/>
        </w:rPr>
        <w:footnoteRef/>
      </w:r>
      <w:r>
        <w:tab/>
      </w:r>
      <w:r w:rsidR="00BA45E0" w:rsidRPr="00B72CEC">
        <w:t>CEDAW/C/SWE/CO/10</w:t>
      </w:r>
      <w:r w:rsidR="00BA45E0">
        <w:t>, paras. 10(a), 12(b), 20, 24(a) and (f), 28(a), 32(e), 34(c) and (d), 36(b), and 42.</w:t>
      </w:r>
    </w:p>
  </w:footnote>
  <w:footnote w:id="6">
    <w:p w14:paraId="2A55A081" w14:textId="614725FC" w:rsidR="00BA45E0" w:rsidRPr="009A3BD2" w:rsidRDefault="001661F9" w:rsidP="00BA45E0">
      <w:pPr>
        <w:pStyle w:val="Fotnotstext"/>
        <w:rPr>
          <w:lang w:val="en-US"/>
        </w:rPr>
      </w:pPr>
      <w:r>
        <w:rPr>
          <w:lang w:val="en-US"/>
        </w:rPr>
        <w:tab/>
      </w:r>
      <w:r w:rsidR="00BA45E0">
        <w:rPr>
          <w:rStyle w:val="Fotnotsreferens"/>
        </w:rPr>
        <w:footnoteRef/>
      </w:r>
      <w:r>
        <w:rPr>
          <w:lang w:val="en-US"/>
        </w:rPr>
        <w:tab/>
      </w:r>
      <w:r w:rsidR="00BA45E0" w:rsidRPr="009A3BD2">
        <w:rPr>
          <w:lang w:val="en-US"/>
        </w:rPr>
        <w:t>CRC/C/SWE/CO/6-</w:t>
      </w:r>
      <w:r w:rsidR="00BA45E0">
        <w:rPr>
          <w:lang w:val="en-US"/>
        </w:rPr>
        <w:t>7, para. 9(b), 10, 17(b) and (c), 19, 20(b), 26(a), 31, 33(a), 38(c), and 41(a).</w:t>
      </w:r>
    </w:p>
  </w:footnote>
  <w:footnote w:id="7">
    <w:p w14:paraId="54E5ABFE" w14:textId="77777777" w:rsidR="006B5EE1" w:rsidRPr="00022069" w:rsidRDefault="006B5EE1" w:rsidP="006B5EE1">
      <w:pPr>
        <w:pStyle w:val="Fotnotstext"/>
        <w:ind w:hanging="567"/>
      </w:pPr>
      <w:r w:rsidRPr="009A3BD2">
        <w:rPr>
          <w:lang w:val="en-US"/>
        </w:rPr>
        <w:tab/>
      </w:r>
      <w:r w:rsidRPr="00F972B6">
        <w:rPr>
          <w:rStyle w:val="Fotnotsreferens"/>
        </w:rPr>
        <w:footnoteRef/>
      </w:r>
      <w:r w:rsidRPr="00022069">
        <w:tab/>
      </w:r>
      <w:hyperlink r:id="rId1" w:history="1">
        <w:r w:rsidRPr="00022069">
          <w:rPr>
            <w:rStyle w:val="Hyperlnk"/>
          </w:rPr>
          <w:t>A/72/55</w:t>
        </w:r>
      </w:hyperlink>
      <w:r w:rsidRPr="00022069">
        <w:t>, annex.</w:t>
      </w:r>
    </w:p>
  </w:footnote>
  <w:footnote w:id="8">
    <w:p w14:paraId="0A0404EC" w14:textId="77777777" w:rsidR="006B5EE1" w:rsidRPr="00022069" w:rsidRDefault="006B5EE1" w:rsidP="006B5EE1">
      <w:pPr>
        <w:pStyle w:val="Fotnotstext"/>
      </w:pPr>
      <w:r w:rsidRPr="00022069">
        <w:tab/>
      </w:r>
      <w:r w:rsidRPr="00F972B6">
        <w:rPr>
          <w:rStyle w:val="Fotnotsreferens"/>
        </w:rPr>
        <w:footnoteRef/>
      </w:r>
      <w:r w:rsidRPr="00022069">
        <w:tab/>
      </w:r>
      <w:hyperlink r:id="rId2" w:history="1">
        <w:r w:rsidRPr="00022069">
          <w:rPr>
            <w:rStyle w:val="Hyperlnk"/>
          </w:rPr>
          <w:t>CRPD/C/5</w:t>
        </w:r>
      </w:hyperlink>
      <w:r w:rsidRPr="00022069">
        <w:t>.</w:t>
      </w:r>
    </w:p>
  </w:footnote>
  <w:footnote w:id="9">
    <w:p w14:paraId="573D7673" w14:textId="77777777" w:rsidR="006B5EE1" w:rsidRPr="00022069" w:rsidRDefault="006B5EE1" w:rsidP="006B5EE1">
      <w:pPr>
        <w:pStyle w:val="Fotnotstext"/>
      </w:pPr>
      <w:r w:rsidRPr="00022069">
        <w:tab/>
      </w:r>
      <w:r w:rsidRPr="00F972B6">
        <w:rPr>
          <w:rStyle w:val="Fotnotsreferens"/>
        </w:rPr>
        <w:footnoteRef/>
      </w:r>
      <w:r w:rsidRPr="00022069">
        <w:tab/>
      </w:r>
      <w:hyperlink r:id="rId3" w:history="1">
        <w:r w:rsidRPr="00022069">
          <w:rPr>
            <w:rStyle w:val="Hyperlnk"/>
          </w:rPr>
          <w:t>A/HRC/52/32</w:t>
        </w:r>
      </w:hyperlink>
      <w:r w:rsidRPr="000220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63B" w14:textId="5765AAA0" w:rsidR="00B41EEA" w:rsidRPr="00240836" w:rsidRDefault="00B41EEA">
    <w:pPr>
      <w:pStyle w:val="Sidhuvud"/>
    </w:pPr>
    <w:r w:rsidRPr="00240836">
      <w:t>CRPD/C/</w:t>
    </w:r>
    <w:r w:rsidR="00D97563">
      <w:t>SWE</w:t>
    </w:r>
    <w:r w:rsidR="00C95104">
      <w:t>/CO/</w:t>
    </w:r>
    <w:r w:rsidR="00200E93">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50D19" w14:textId="637D2D68" w:rsidR="00B41EEA" w:rsidRPr="00240836" w:rsidRDefault="00B41EEA">
    <w:pPr>
      <w:pStyle w:val="Sidhuvud"/>
      <w:jc w:val="right"/>
    </w:pPr>
    <w:r w:rsidRPr="00240836">
      <w:t>CRPD/C/</w:t>
    </w:r>
    <w:r w:rsidR="00D97563">
      <w:t>SWE</w:t>
    </w:r>
    <w:r w:rsidRPr="00240836">
      <w:t>/CO/</w:t>
    </w:r>
    <w:r w:rsidR="00200E93">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21177" w14:textId="77777777" w:rsidR="00B41EEA" w:rsidRDefault="00B41EEA">
    <w:pPr>
      <w:pStyle w:val="Sidhuvud"/>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D2530"/>
    <w:multiLevelType w:val="hybridMultilevel"/>
    <w:tmpl w:val="C33EBF5A"/>
    <w:lvl w:ilvl="0" w:tplc="889E8012">
      <w:start w:val="4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D954887"/>
    <w:multiLevelType w:val="hybridMultilevel"/>
    <w:tmpl w:val="2B362816"/>
    <w:lvl w:ilvl="0" w:tplc="6BD43A2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E18B0" w:tentative="1">
      <w:start w:val="1"/>
      <w:numFmt w:val="lowerLetter"/>
      <w:lvlText w:val="%2."/>
      <w:lvlJc w:val="left"/>
      <w:pPr>
        <w:tabs>
          <w:tab w:val="num" w:pos="1440"/>
        </w:tabs>
        <w:ind w:left="1440" w:hanging="360"/>
      </w:pPr>
    </w:lvl>
    <w:lvl w:ilvl="2" w:tplc="92C40CD0" w:tentative="1">
      <w:start w:val="1"/>
      <w:numFmt w:val="lowerRoman"/>
      <w:lvlText w:val="%3."/>
      <w:lvlJc w:val="right"/>
      <w:pPr>
        <w:tabs>
          <w:tab w:val="num" w:pos="2160"/>
        </w:tabs>
        <w:ind w:left="2160" w:hanging="180"/>
      </w:pPr>
    </w:lvl>
    <w:lvl w:ilvl="3" w:tplc="CC8253C6" w:tentative="1">
      <w:start w:val="1"/>
      <w:numFmt w:val="decimal"/>
      <w:lvlText w:val="%4."/>
      <w:lvlJc w:val="left"/>
      <w:pPr>
        <w:tabs>
          <w:tab w:val="num" w:pos="2880"/>
        </w:tabs>
        <w:ind w:left="2880" w:hanging="360"/>
      </w:pPr>
    </w:lvl>
    <w:lvl w:ilvl="4" w:tplc="34F0357A" w:tentative="1">
      <w:start w:val="1"/>
      <w:numFmt w:val="lowerLetter"/>
      <w:lvlText w:val="%5."/>
      <w:lvlJc w:val="left"/>
      <w:pPr>
        <w:tabs>
          <w:tab w:val="num" w:pos="3600"/>
        </w:tabs>
        <w:ind w:left="3600" w:hanging="360"/>
      </w:pPr>
    </w:lvl>
    <w:lvl w:ilvl="5" w:tplc="FF18EE1A" w:tentative="1">
      <w:start w:val="1"/>
      <w:numFmt w:val="lowerRoman"/>
      <w:lvlText w:val="%6."/>
      <w:lvlJc w:val="right"/>
      <w:pPr>
        <w:tabs>
          <w:tab w:val="num" w:pos="4320"/>
        </w:tabs>
        <w:ind w:left="4320" w:hanging="180"/>
      </w:pPr>
    </w:lvl>
    <w:lvl w:ilvl="6" w:tplc="1DF46860" w:tentative="1">
      <w:start w:val="1"/>
      <w:numFmt w:val="decimal"/>
      <w:lvlText w:val="%7."/>
      <w:lvlJc w:val="left"/>
      <w:pPr>
        <w:tabs>
          <w:tab w:val="num" w:pos="5040"/>
        </w:tabs>
        <w:ind w:left="5040" w:hanging="360"/>
      </w:pPr>
    </w:lvl>
    <w:lvl w:ilvl="7" w:tplc="AB7AE070" w:tentative="1">
      <w:start w:val="1"/>
      <w:numFmt w:val="lowerLetter"/>
      <w:lvlText w:val="%8."/>
      <w:lvlJc w:val="left"/>
      <w:pPr>
        <w:tabs>
          <w:tab w:val="num" w:pos="5760"/>
        </w:tabs>
        <w:ind w:left="5760" w:hanging="360"/>
      </w:pPr>
    </w:lvl>
    <w:lvl w:ilvl="8" w:tplc="DC8432AE" w:tentative="1">
      <w:start w:val="1"/>
      <w:numFmt w:val="lowerRoman"/>
      <w:lvlText w:val="%9."/>
      <w:lvlJc w:val="right"/>
      <w:pPr>
        <w:tabs>
          <w:tab w:val="num" w:pos="6480"/>
        </w:tabs>
        <w:ind w:left="6480" w:hanging="180"/>
      </w:pPr>
    </w:lvl>
  </w:abstractNum>
  <w:abstractNum w:abstractNumId="3" w15:restartNumberingAfterBreak="0">
    <w:nsid w:val="11B6398E"/>
    <w:multiLevelType w:val="hybridMultilevel"/>
    <w:tmpl w:val="14E64466"/>
    <w:lvl w:ilvl="0" w:tplc="FE604D84">
      <w:start w:val="59"/>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13037CF8"/>
    <w:multiLevelType w:val="multilevel"/>
    <w:tmpl w:val="025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E3FB7"/>
    <w:multiLevelType w:val="hybridMultilevel"/>
    <w:tmpl w:val="3CE6CBD2"/>
    <w:lvl w:ilvl="0" w:tplc="B6542A5A">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8" w15:restartNumberingAfterBreak="0">
    <w:nsid w:val="26722C8B"/>
    <w:multiLevelType w:val="hybridMultilevel"/>
    <w:tmpl w:val="1750D7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82956E5"/>
    <w:multiLevelType w:val="hybridMultilevel"/>
    <w:tmpl w:val="CA70E882"/>
    <w:lvl w:ilvl="0" w:tplc="7E5E4C20">
      <w:start w:val="1"/>
      <w:numFmt w:val="lowerLetter"/>
      <w:lvlText w:val="(%1)"/>
      <w:lvlJc w:val="left"/>
      <w:pPr>
        <w:ind w:left="1854" w:hanging="360"/>
      </w:pPr>
      <w:rPr>
        <w:rFonts w:hint="default"/>
        <w:b w:val="0"/>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0" w15:restartNumberingAfterBreak="0">
    <w:nsid w:val="2C1C5DA2"/>
    <w:multiLevelType w:val="hybridMultilevel"/>
    <w:tmpl w:val="BB8A3058"/>
    <w:lvl w:ilvl="0" w:tplc="F6604A38">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1" w15:restartNumberingAfterBreak="0">
    <w:nsid w:val="2F7D1B61"/>
    <w:multiLevelType w:val="hybridMultilevel"/>
    <w:tmpl w:val="B1825886"/>
    <w:lvl w:ilvl="0" w:tplc="82B49DF4">
      <w:start w:val="15"/>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F34E9"/>
    <w:multiLevelType w:val="hybridMultilevel"/>
    <w:tmpl w:val="DCEE2728"/>
    <w:lvl w:ilvl="0" w:tplc="0809000F">
      <w:start w:val="2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ACF4EB2"/>
    <w:multiLevelType w:val="hybridMultilevel"/>
    <w:tmpl w:val="CB6C816A"/>
    <w:lvl w:ilvl="0" w:tplc="C1F2E1FC">
      <w:start w:val="1"/>
      <w:numFmt w:val="bullet"/>
      <w:pStyle w:val="Bullet2G"/>
      <w:lvlText w:val="•"/>
      <w:lvlJc w:val="left"/>
      <w:pPr>
        <w:tabs>
          <w:tab w:val="num" w:pos="2268"/>
        </w:tabs>
        <w:ind w:left="2268" w:hanging="170"/>
      </w:pPr>
      <w:rPr>
        <w:rFonts w:ascii="Times New Roman" w:hAnsi="Times New Roman" w:cs="Times New Roman" w:hint="default"/>
      </w:rPr>
    </w:lvl>
    <w:lvl w:ilvl="1" w:tplc="FEE65A2E" w:tentative="1">
      <w:start w:val="1"/>
      <w:numFmt w:val="bullet"/>
      <w:lvlText w:val="o"/>
      <w:lvlJc w:val="left"/>
      <w:pPr>
        <w:tabs>
          <w:tab w:val="num" w:pos="3708"/>
        </w:tabs>
        <w:ind w:left="3708" w:hanging="360"/>
      </w:pPr>
      <w:rPr>
        <w:rFonts w:ascii="Courier New" w:hAnsi="Courier New" w:hint="default"/>
      </w:rPr>
    </w:lvl>
    <w:lvl w:ilvl="2" w:tplc="13F60FA6" w:tentative="1">
      <w:start w:val="1"/>
      <w:numFmt w:val="bullet"/>
      <w:lvlText w:val=""/>
      <w:lvlJc w:val="left"/>
      <w:pPr>
        <w:tabs>
          <w:tab w:val="num" w:pos="4428"/>
        </w:tabs>
        <w:ind w:left="4428" w:hanging="360"/>
      </w:pPr>
      <w:rPr>
        <w:rFonts w:ascii="Wingdings" w:hAnsi="Wingdings" w:hint="default"/>
      </w:rPr>
    </w:lvl>
    <w:lvl w:ilvl="3" w:tplc="AF888716" w:tentative="1">
      <w:start w:val="1"/>
      <w:numFmt w:val="bullet"/>
      <w:lvlText w:val=""/>
      <w:lvlJc w:val="left"/>
      <w:pPr>
        <w:tabs>
          <w:tab w:val="num" w:pos="5148"/>
        </w:tabs>
        <w:ind w:left="5148" w:hanging="360"/>
      </w:pPr>
      <w:rPr>
        <w:rFonts w:ascii="Symbol" w:hAnsi="Symbol" w:hint="default"/>
      </w:rPr>
    </w:lvl>
    <w:lvl w:ilvl="4" w:tplc="FA425E32" w:tentative="1">
      <w:start w:val="1"/>
      <w:numFmt w:val="bullet"/>
      <w:lvlText w:val="o"/>
      <w:lvlJc w:val="left"/>
      <w:pPr>
        <w:tabs>
          <w:tab w:val="num" w:pos="5868"/>
        </w:tabs>
        <w:ind w:left="5868" w:hanging="360"/>
      </w:pPr>
      <w:rPr>
        <w:rFonts w:ascii="Courier New" w:hAnsi="Courier New" w:hint="default"/>
      </w:rPr>
    </w:lvl>
    <w:lvl w:ilvl="5" w:tplc="375416BC" w:tentative="1">
      <w:start w:val="1"/>
      <w:numFmt w:val="bullet"/>
      <w:lvlText w:val=""/>
      <w:lvlJc w:val="left"/>
      <w:pPr>
        <w:tabs>
          <w:tab w:val="num" w:pos="6588"/>
        </w:tabs>
        <w:ind w:left="6588" w:hanging="360"/>
      </w:pPr>
      <w:rPr>
        <w:rFonts w:ascii="Wingdings" w:hAnsi="Wingdings" w:hint="default"/>
      </w:rPr>
    </w:lvl>
    <w:lvl w:ilvl="6" w:tplc="9BFECE58" w:tentative="1">
      <w:start w:val="1"/>
      <w:numFmt w:val="bullet"/>
      <w:lvlText w:val=""/>
      <w:lvlJc w:val="left"/>
      <w:pPr>
        <w:tabs>
          <w:tab w:val="num" w:pos="7308"/>
        </w:tabs>
        <w:ind w:left="7308" w:hanging="360"/>
      </w:pPr>
      <w:rPr>
        <w:rFonts w:ascii="Symbol" w:hAnsi="Symbol" w:hint="default"/>
      </w:rPr>
    </w:lvl>
    <w:lvl w:ilvl="7" w:tplc="9748264C" w:tentative="1">
      <w:start w:val="1"/>
      <w:numFmt w:val="bullet"/>
      <w:lvlText w:val="o"/>
      <w:lvlJc w:val="left"/>
      <w:pPr>
        <w:tabs>
          <w:tab w:val="num" w:pos="8028"/>
        </w:tabs>
        <w:ind w:left="8028" w:hanging="360"/>
      </w:pPr>
      <w:rPr>
        <w:rFonts w:ascii="Courier New" w:hAnsi="Courier New" w:hint="default"/>
      </w:rPr>
    </w:lvl>
    <w:lvl w:ilvl="8" w:tplc="88A80966"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F0C7782"/>
    <w:multiLevelType w:val="hybridMultilevel"/>
    <w:tmpl w:val="9126C50A"/>
    <w:lvl w:ilvl="0" w:tplc="8F705A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2CD066B"/>
    <w:multiLevelType w:val="hybridMultilevel"/>
    <w:tmpl w:val="C9AA1634"/>
    <w:lvl w:ilvl="0" w:tplc="5248F6DA">
      <w:start w:val="1"/>
      <w:numFmt w:val="upperLetter"/>
      <w:lvlText w:val="%1."/>
      <w:lvlJc w:val="left"/>
      <w:pPr>
        <w:ind w:left="1128" w:hanging="504"/>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15:restartNumberingAfterBreak="0">
    <w:nsid w:val="466E1D39"/>
    <w:multiLevelType w:val="hybridMultilevel"/>
    <w:tmpl w:val="A872BD08"/>
    <w:lvl w:ilvl="0" w:tplc="4F9C6992">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8" w15:restartNumberingAfterBreak="0">
    <w:nsid w:val="47E55CA4"/>
    <w:multiLevelType w:val="hybridMultilevel"/>
    <w:tmpl w:val="C9A67CD6"/>
    <w:lvl w:ilvl="0" w:tplc="0616C3F2">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869246C"/>
    <w:multiLevelType w:val="hybridMultilevel"/>
    <w:tmpl w:val="EB420B4C"/>
    <w:lvl w:ilvl="0" w:tplc="AEE28FD0">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0" w15:restartNumberingAfterBreak="0">
    <w:nsid w:val="4C0F2557"/>
    <w:multiLevelType w:val="hybridMultilevel"/>
    <w:tmpl w:val="7CA2D40C"/>
    <w:lvl w:ilvl="0" w:tplc="870689A8">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21" w15:restartNumberingAfterBreak="0">
    <w:nsid w:val="4C325293"/>
    <w:multiLevelType w:val="hybridMultilevel"/>
    <w:tmpl w:val="ED82435A"/>
    <w:lvl w:ilvl="0" w:tplc="A30A3AAA">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15:restartNumberingAfterBreak="0">
    <w:nsid w:val="4D993BBA"/>
    <w:multiLevelType w:val="hybridMultilevel"/>
    <w:tmpl w:val="5D8428DA"/>
    <w:lvl w:ilvl="0" w:tplc="AEE28FD0">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15:restartNumberingAfterBreak="0">
    <w:nsid w:val="53F80C9D"/>
    <w:multiLevelType w:val="hybridMultilevel"/>
    <w:tmpl w:val="12F45892"/>
    <w:lvl w:ilvl="0" w:tplc="5A025E02">
      <w:start w:val="1"/>
      <w:numFmt w:val="decimal"/>
      <w:lvlText w:val="%1."/>
      <w:lvlJc w:val="left"/>
      <w:pPr>
        <w:ind w:left="1778"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5549288E"/>
    <w:multiLevelType w:val="hybridMultilevel"/>
    <w:tmpl w:val="83D8559C"/>
    <w:lvl w:ilvl="0" w:tplc="C7AEF054">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5" w15:restartNumberingAfterBreak="0">
    <w:nsid w:val="56EF5CE2"/>
    <w:multiLevelType w:val="hybridMultilevel"/>
    <w:tmpl w:val="1A627A92"/>
    <w:lvl w:ilvl="0" w:tplc="7CFC5570">
      <w:start w:val="1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E74A90"/>
    <w:multiLevelType w:val="hybridMultilevel"/>
    <w:tmpl w:val="03CCFE74"/>
    <w:lvl w:ilvl="0" w:tplc="2112F0B6">
      <w:start w:val="3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AD07B2"/>
    <w:multiLevelType w:val="hybridMultilevel"/>
    <w:tmpl w:val="7FEE3222"/>
    <w:lvl w:ilvl="0" w:tplc="EAFA0730">
      <w:start w:val="1"/>
      <w:numFmt w:val="bullet"/>
      <w:pStyle w:val="Bullet1G"/>
      <w:lvlText w:val="•"/>
      <w:lvlJc w:val="left"/>
      <w:pPr>
        <w:tabs>
          <w:tab w:val="num" w:pos="1701"/>
        </w:tabs>
        <w:ind w:left="1701" w:hanging="170"/>
      </w:pPr>
      <w:rPr>
        <w:rFonts w:ascii="Times New Roman" w:hAnsi="Times New Roman" w:cs="Times New Roman" w:hint="default"/>
      </w:rPr>
    </w:lvl>
    <w:lvl w:ilvl="1" w:tplc="FFD8A276" w:tentative="1">
      <w:start w:val="1"/>
      <w:numFmt w:val="bullet"/>
      <w:lvlText w:val="o"/>
      <w:lvlJc w:val="left"/>
      <w:pPr>
        <w:tabs>
          <w:tab w:val="num" w:pos="3141"/>
        </w:tabs>
        <w:ind w:left="3141" w:hanging="360"/>
      </w:pPr>
      <w:rPr>
        <w:rFonts w:ascii="Courier New" w:hAnsi="Courier New" w:hint="default"/>
      </w:rPr>
    </w:lvl>
    <w:lvl w:ilvl="2" w:tplc="25A209A6" w:tentative="1">
      <w:start w:val="1"/>
      <w:numFmt w:val="bullet"/>
      <w:lvlText w:val=""/>
      <w:lvlJc w:val="left"/>
      <w:pPr>
        <w:tabs>
          <w:tab w:val="num" w:pos="3861"/>
        </w:tabs>
        <w:ind w:left="3861" w:hanging="360"/>
      </w:pPr>
      <w:rPr>
        <w:rFonts w:ascii="Wingdings" w:hAnsi="Wingdings" w:hint="default"/>
      </w:rPr>
    </w:lvl>
    <w:lvl w:ilvl="3" w:tplc="8FFA0B76" w:tentative="1">
      <w:start w:val="1"/>
      <w:numFmt w:val="bullet"/>
      <w:lvlText w:val=""/>
      <w:lvlJc w:val="left"/>
      <w:pPr>
        <w:tabs>
          <w:tab w:val="num" w:pos="4581"/>
        </w:tabs>
        <w:ind w:left="4581" w:hanging="360"/>
      </w:pPr>
      <w:rPr>
        <w:rFonts w:ascii="Symbol" w:hAnsi="Symbol" w:hint="default"/>
      </w:rPr>
    </w:lvl>
    <w:lvl w:ilvl="4" w:tplc="1B4C88C0" w:tentative="1">
      <w:start w:val="1"/>
      <w:numFmt w:val="bullet"/>
      <w:lvlText w:val="o"/>
      <w:lvlJc w:val="left"/>
      <w:pPr>
        <w:tabs>
          <w:tab w:val="num" w:pos="5301"/>
        </w:tabs>
        <w:ind w:left="5301" w:hanging="360"/>
      </w:pPr>
      <w:rPr>
        <w:rFonts w:ascii="Courier New" w:hAnsi="Courier New" w:hint="default"/>
      </w:rPr>
    </w:lvl>
    <w:lvl w:ilvl="5" w:tplc="A860E536" w:tentative="1">
      <w:start w:val="1"/>
      <w:numFmt w:val="bullet"/>
      <w:lvlText w:val=""/>
      <w:lvlJc w:val="left"/>
      <w:pPr>
        <w:tabs>
          <w:tab w:val="num" w:pos="6021"/>
        </w:tabs>
        <w:ind w:left="6021" w:hanging="360"/>
      </w:pPr>
      <w:rPr>
        <w:rFonts w:ascii="Wingdings" w:hAnsi="Wingdings" w:hint="default"/>
      </w:rPr>
    </w:lvl>
    <w:lvl w:ilvl="6" w:tplc="FB360A32" w:tentative="1">
      <w:start w:val="1"/>
      <w:numFmt w:val="bullet"/>
      <w:lvlText w:val=""/>
      <w:lvlJc w:val="left"/>
      <w:pPr>
        <w:tabs>
          <w:tab w:val="num" w:pos="6741"/>
        </w:tabs>
        <w:ind w:left="6741" w:hanging="360"/>
      </w:pPr>
      <w:rPr>
        <w:rFonts w:ascii="Symbol" w:hAnsi="Symbol" w:hint="default"/>
      </w:rPr>
    </w:lvl>
    <w:lvl w:ilvl="7" w:tplc="8B98BE9E" w:tentative="1">
      <w:start w:val="1"/>
      <w:numFmt w:val="bullet"/>
      <w:lvlText w:val="o"/>
      <w:lvlJc w:val="left"/>
      <w:pPr>
        <w:tabs>
          <w:tab w:val="num" w:pos="7461"/>
        </w:tabs>
        <w:ind w:left="7461" w:hanging="360"/>
      </w:pPr>
      <w:rPr>
        <w:rFonts w:ascii="Courier New" w:hAnsi="Courier New" w:hint="default"/>
      </w:rPr>
    </w:lvl>
    <w:lvl w:ilvl="8" w:tplc="5AD63E4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92401D5C">
      <w:start w:val="1"/>
      <w:numFmt w:val="bullet"/>
      <w:lvlText w:val="•"/>
      <w:lvlJc w:val="left"/>
      <w:pPr>
        <w:tabs>
          <w:tab w:val="num" w:pos="1701"/>
        </w:tabs>
        <w:ind w:left="1701" w:hanging="170"/>
      </w:pPr>
      <w:rPr>
        <w:rFonts w:ascii="Times New Roman" w:hAnsi="Times New Roman" w:cs="Times New Roman" w:hint="default"/>
      </w:rPr>
    </w:lvl>
    <w:lvl w:ilvl="1" w:tplc="CF86CA3C" w:tentative="1">
      <w:start w:val="1"/>
      <w:numFmt w:val="bullet"/>
      <w:lvlText w:val="o"/>
      <w:lvlJc w:val="left"/>
      <w:pPr>
        <w:tabs>
          <w:tab w:val="num" w:pos="1440"/>
        </w:tabs>
        <w:ind w:left="1440" w:hanging="360"/>
      </w:pPr>
      <w:rPr>
        <w:rFonts w:ascii="Courier New" w:hAnsi="Courier New" w:hint="default"/>
      </w:rPr>
    </w:lvl>
    <w:lvl w:ilvl="2" w:tplc="D3142AB8" w:tentative="1">
      <w:start w:val="1"/>
      <w:numFmt w:val="bullet"/>
      <w:lvlText w:val=""/>
      <w:lvlJc w:val="left"/>
      <w:pPr>
        <w:tabs>
          <w:tab w:val="num" w:pos="2160"/>
        </w:tabs>
        <w:ind w:left="2160" w:hanging="360"/>
      </w:pPr>
      <w:rPr>
        <w:rFonts w:ascii="Wingdings" w:hAnsi="Wingdings" w:hint="default"/>
      </w:rPr>
    </w:lvl>
    <w:lvl w:ilvl="3" w:tplc="5DDE8624" w:tentative="1">
      <w:start w:val="1"/>
      <w:numFmt w:val="bullet"/>
      <w:lvlText w:val=""/>
      <w:lvlJc w:val="left"/>
      <w:pPr>
        <w:tabs>
          <w:tab w:val="num" w:pos="2880"/>
        </w:tabs>
        <w:ind w:left="2880" w:hanging="360"/>
      </w:pPr>
      <w:rPr>
        <w:rFonts w:ascii="Symbol" w:hAnsi="Symbol" w:hint="default"/>
      </w:rPr>
    </w:lvl>
    <w:lvl w:ilvl="4" w:tplc="7B6EA234" w:tentative="1">
      <w:start w:val="1"/>
      <w:numFmt w:val="bullet"/>
      <w:lvlText w:val="o"/>
      <w:lvlJc w:val="left"/>
      <w:pPr>
        <w:tabs>
          <w:tab w:val="num" w:pos="3600"/>
        </w:tabs>
        <w:ind w:left="3600" w:hanging="360"/>
      </w:pPr>
      <w:rPr>
        <w:rFonts w:ascii="Courier New" w:hAnsi="Courier New" w:hint="default"/>
      </w:rPr>
    </w:lvl>
    <w:lvl w:ilvl="5" w:tplc="518E486A" w:tentative="1">
      <w:start w:val="1"/>
      <w:numFmt w:val="bullet"/>
      <w:lvlText w:val=""/>
      <w:lvlJc w:val="left"/>
      <w:pPr>
        <w:tabs>
          <w:tab w:val="num" w:pos="4320"/>
        </w:tabs>
        <w:ind w:left="4320" w:hanging="360"/>
      </w:pPr>
      <w:rPr>
        <w:rFonts w:ascii="Wingdings" w:hAnsi="Wingdings" w:hint="default"/>
      </w:rPr>
    </w:lvl>
    <w:lvl w:ilvl="6" w:tplc="6AC22C4C" w:tentative="1">
      <w:start w:val="1"/>
      <w:numFmt w:val="bullet"/>
      <w:lvlText w:val=""/>
      <w:lvlJc w:val="left"/>
      <w:pPr>
        <w:tabs>
          <w:tab w:val="num" w:pos="5040"/>
        </w:tabs>
        <w:ind w:left="5040" w:hanging="360"/>
      </w:pPr>
      <w:rPr>
        <w:rFonts w:ascii="Symbol" w:hAnsi="Symbol" w:hint="default"/>
      </w:rPr>
    </w:lvl>
    <w:lvl w:ilvl="7" w:tplc="EF74B59E" w:tentative="1">
      <w:start w:val="1"/>
      <w:numFmt w:val="bullet"/>
      <w:lvlText w:val="o"/>
      <w:lvlJc w:val="left"/>
      <w:pPr>
        <w:tabs>
          <w:tab w:val="num" w:pos="5760"/>
        </w:tabs>
        <w:ind w:left="5760" w:hanging="360"/>
      </w:pPr>
      <w:rPr>
        <w:rFonts w:ascii="Courier New" w:hAnsi="Courier New" w:hint="default"/>
      </w:rPr>
    </w:lvl>
    <w:lvl w:ilvl="8" w:tplc="257EDE1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84BFB"/>
    <w:multiLevelType w:val="hybridMultilevel"/>
    <w:tmpl w:val="D690E1E0"/>
    <w:lvl w:ilvl="0" w:tplc="AB3A791E">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0780BAD"/>
    <w:multiLevelType w:val="hybridMultilevel"/>
    <w:tmpl w:val="27960E10"/>
    <w:lvl w:ilvl="0" w:tplc="5464F87A">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25918B7"/>
    <w:multiLevelType w:val="hybridMultilevel"/>
    <w:tmpl w:val="ABFC5232"/>
    <w:lvl w:ilvl="0" w:tplc="04270017">
      <w:start w:val="1"/>
      <w:numFmt w:val="lowerLetter"/>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5" w15:restartNumberingAfterBreak="0">
    <w:nsid w:val="751E5018"/>
    <w:multiLevelType w:val="hybridMultilevel"/>
    <w:tmpl w:val="F452B088"/>
    <w:lvl w:ilvl="0" w:tplc="EDDCBF54">
      <w:start w:val="1"/>
      <w:numFmt w:val="decimal"/>
      <w:lvlText w:val="%1."/>
      <w:lvlJc w:val="left"/>
      <w:pPr>
        <w:tabs>
          <w:tab w:val="num" w:pos="3600"/>
        </w:tabs>
        <w:ind w:left="3600" w:hanging="360"/>
      </w:pPr>
      <w:rPr>
        <w:b/>
        <w:bCs/>
      </w:rPr>
    </w:lvl>
    <w:lvl w:ilvl="1" w:tplc="46B2AC42">
      <w:start w:val="1"/>
      <w:numFmt w:val="upp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591226"/>
    <w:multiLevelType w:val="hybridMultilevel"/>
    <w:tmpl w:val="8938C2BA"/>
    <w:lvl w:ilvl="0" w:tplc="F55C4D60">
      <w:start w:val="19"/>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AD34385"/>
    <w:multiLevelType w:val="multilevel"/>
    <w:tmpl w:val="1692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B5592"/>
    <w:multiLevelType w:val="hybridMultilevel"/>
    <w:tmpl w:val="E0EC54CE"/>
    <w:lvl w:ilvl="0" w:tplc="5BB8050C">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D83539F"/>
    <w:multiLevelType w:val="hybridMultilevel"/>
    <w:tmpl w:val="E23A8FF4"/>
    <w:lvl w:ilvl="0" w:tplc="6B089064">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41" w15:restartNumberingAfterBreak="0">
    <w:nsid w:val="7F40089F"/>
    <w:multiLevelType w:val="hybridMultilevel"/>
    <w:tmpl w:val="F9ACEE20"/>
    <w:lvl w:ilvl="0" w:tplc="1F8228DC">
      <w:start w:val="4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602306680">
    <w:abstractNumId w:val="28"/>
  </w:num>
  <w:num w:numId="2" w16cid:durableId="803084822">
    <w:abstractNumId w:val="36"/>
  </w:num>
  <w:num w:numId="3" w16cid:durableId="383021397">
    <w:abstractNumId w:val="30"/>
  </w:num>
  <w:num w:numId="4" w16cid:durableId="471992424">
    <w:abstractNumId w:val="14"/>
  </w:num>
  <w:num w:numId="5" w16cid:durableId="1219560472">
    <w:abstractNumId w:val="2"/>
  </w:num>
  <w:num w:numId="6" w16cid:durableId="407576931">
    <w:abstractNumId w:val="3"/>
  </w:num>
  <w:num w:numId="7" w16cid:durableId="701050873">
    <w:abstractNumId w:val="19"/>
  </w:num>
  <w:num w:numId="8" w16cid:durableId="1568832709">
    <w:abstractNumId w:val="9"/>
  </w:num>
  <w:num w:numId="9" w16cid:durableId="589504311">
    <w:abstractNumId w:val="22"/>
  </w:num>
  <w:num w:numId="10" w16cid:durableId="1841506880">
    <w:abstractNumId w:val="10"/>
  </w:num>
  <w:num w:numId="11" w16cid:durableId="952244627">
    <w:abstractNumId w:val="34"/>
  </w:num>
  <w:num w:numId="12" w16cid:durableId="866869728">
    <w:abstractNumId w:val="25"/>
  </w:num>
  <w:num w:numId="13" w16cid:durableId="1056660077">
    <w:abstractNumId w:val="11"/>
  </w:num>
  <w:num w:numId="14" w16cid:durableId="1181319113">
    <w:abstractNumId w:val="37"/>
  </w:num>
  <w:num w:numId="15" w16cid:durableId="2087607613">
    <w:abstractNumId w:val="13"/>
  </w:num>
  <w:num w:numId="16" w16cid:durableId="2028211906">
    <w:abstractNumId w:val="18"/>
  </w:num>
  <w:num w:numId="17" w16cid:durableId="2128230676">
    <w:abstractNumId w:val="29"/>
  </w:num>
  <w:num w:numId="18" w16cid:durableId="1860921947">
    <w:abstractNumId w:val="1"/>
  </w:num>
  <w:num w:numId="19" w16cid:durableId="2060544359">
    <w:abstractNumId w:val="15"/>
  </w:num>
  <w:num w:numId="20" w16cid:durableId="950629967">
    <w:abstractNumId w:val="21"/>
  </w:num>
  <w:num w:numId="21" w16cid:durableId="2024162071">
    <w:abstractNumId w:val="20"/>
  </w:num>
  <w:num w:numId="22" w16cid:durableId="1192645693">
    <w:abstractNumId w:val="40"/>
  </w:num>
  <w:num w:numId="23" w16cid:durableId="1449349797">
    <w:abstractNumId w:val="7"/>
  </w:num>
  <w:num w:numId="24" w16cid:durableId="734546862">
    <w:abstractNumId w:val="17"/>
  </w:num>
  <w:num w:numId="25" w16cid:durableId="1564371181">
    <w:abstractNumId w:val="41"/>
  </w:num>
  <w:num w:numId="26" w16cid:durableId="674500123">
    <w:abstractNumId w:val="39"/>
  </w:num>
  <w:num w:numId="27" w16cid:durableId="522937938">
    <w:abstractNumId w:val="12"/>
  </w:num>
  <w:num w:numId="28" w16cid:durableId="17392073">
    <w:abstractNumId w:val="6"/>
  </w:num>
  <w:num w:numId="29" w16cid:durableId="1365911248">
    <w:abstractNumId w:val="0"/>
  </w:num>
  <w:num w:numId="30" w16cid:durableId="15078233">
    <w:abstractNumId w:val="26"/>
  </w:num>
  <w:num w:numId="31" w16cid:durableId="1701739996">
    <w:abstractNumId w:val="27"/>
  </w:num>
  <w:num w:numId="32" w16cid:durableId="1906799110">
    <w:abstractNumId w:val="5"/>
  </w:num>
  <w:num w:numId="33" w16cid:durableId="2185935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505190">
    <w:abstractNumId w:val="8"/>
  </w:num>
  <w:num w:numId="35" w16cid:durableId="271598605">
    <w:abstractNumId w:val="24"/>
  </w:num>
  <w:num w:numId="36" w16cid:durableId="536044075">
    <w:abstractNumId w:val="16"/>
  </w:num>
  <w:num w:numId="37" w16cid:durableId="1263034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8382946">
    <w:abstractNumId w:val="33"/>
  </w:num>
  <w:num w:numId="39" w16cid:durableId="726877681">
    <w:abstractNumId w:val="31"/>
  </w:num>
  <w:num w:numId="40" w16cid:durableId="882525034">
    <w:abstractNumId w:val="4"/>
  </w:num>
  <w:num w:numId="41" w16cid:durableId="1446191604">
    <w:abstractNumId w:val="32"/>
  </w:num>
  <w:num w:numId="42" w16cid:durableId="1381855163">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 w:vendorID="64" w:dllVersion="0" w:nlCheck="1" w:checkStyle="0"/>
  <w:activeWritingStyle w:appName="MSWord" w:lang="fr-CH" w:vendorID="64" w:dllVersion="0" w:nlCheck="1" w:checkStyle="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DB"/>
    <w:rsid w:val="0000024A"/>
    <w:rsid w:val="00001F66"/>
    <w:rsid w:val="0000367D"/>
    <w:rsid w:val="00004D33"/>
    <w:rsid w:val="00005DA1"/>
    <w:rsid w:val="00005ED3"/>
    <w:rsid w:val="00011D72"/>
    <w:rsid w:val="00012E32"/>
    <w:rsid w:val="00012F91"/>
    <w:rsid w:val="00014485"/>
    <w:rsid w:val="00014C8D"/>
    <w:rsid w:val="00015E95"/>
    <w:rsid w:val="00016EB7"/>
    <w:rsid w:val="00021439"/>
    <w:rsid w:val="00021C5F"/>
    <w:rsid w:val="00022069"/>
    <w:rsid w:val="000222AA"/>
    <w:rsid w:val="000231D7"/>
    <w:rsid w:val="00023873"/>
    <w:rsid w:val="0002486B"/>
    <w:rsid w:val="00026036"/>
    <w:rsid w:val="000265CA"/>
    <w:rsid w:val="00027876"/>
    <w:rsid w:val="00030583"/>
    <w:rsid w:val="000320FA"/>
    <w:rsid w:val="00032393"/>
    <w:rsid w:val="00033183"/>
    <w:rsid w:val="00033C0F"/>
    <w:rsid w:val="0003433B"/>
    <w:rsid w:val="0003487B"/>
    <w:rsid w:val="0003689A"/>
    <w:rsid w:val="000368E2"/>
    <w:rsid w:val="000370F9"/>
    <w:rsid w:val="000372F1"/>
    <w:rsid w:val="00040DB2"/>
    <w:rsid w:val="000433CE"/>
    <w:rsid w:val="00043CD0"/>
    <w:rsid w:val="00051197"/>
    <w:rsid w:val="00051490"/>
    <w:rsid w:val="000517AD"/>
    <w:rsid w:val="00052322"/>
    <w:rsid w:val="00052B9F"/>
    <w:rsid w:val="00052BE4"/>
    <w:rsid w:val="000550C9"/>
    <w:rsid w:val="00055847"/>
    <w:rsid w:val="00056D78"/>
    <w:rsid w:val="00057568"/>
    <w:rsid w:val="00057F43"/>
    <w:rsid w:val="00061899"/>
    <w:rsid w:val="00061C7A"/>
    <w:rsid w:val="000633F5"/>
    <w:rsid w:val="000653EA"/>
    <w:rsid w:val="000731A9"/>
    <w:rsid w:val="00073C96"/>
    <w:rsid w:val="000740CA"/>
    <w:rsid w:val="00074314"/>
    <w:rsid w:val="000756EE"/>
    <w:rsid w:val="000766CF"/>
    <w:rsid w:val="00076A74"/>
    <w:rsid w:val="0007784B"/>
    <w:rsid w:val="0008092C"/>
    <w:rsid w:val="00083DDF"/>
    <w:rsid w:val="00083FAF"/>
    <w:rsid w:val="0008556A"/>
    <w:rsid w:val="000864E9"/>
    <w:rsid w:val="00087473"/>
    <w:rsid w:val="00091771"/>
    <w:rsid w:val="00092E69"/>
    <w:rsid w:val="00093A4B"/>
    <w:rsid w:val="00094C7D"/>
    <w:rsid w:val="000963F3"/>
    <w:rsid w:val="000A04A7"/>
    <w:rsid w:val="000A10F7"/>
    <w:rsid w:val="000A11EB"/>
    <w:rsid w:val="000A1B59"/>
    <w:rsid w:val="000A27D7"/>
    <w:rsid w:val="000A34F1"/>
    <w:rsid w:val="000A69AD"/>
    <w:rsid w:val="000B0BA1"/>
    <w:rsid w:val="000B0C64"/>
    <w:rsid w:val="000B1150"/>
    <w:rsid w:val="000B1740"/>
    <w:rsid w:val="000B1882"/>
    <w:rsid w:val="000B2A40"/>
    <w:rsid w:val="000B3C12"/>
    <w:rsid w:val="000B5182"/>
    <w:rsid w:val="000B6CE5"/>
    <w:rsid w:val="000B718A"/>
    <w:rsid w:val="000C1BE0"/>
    <w:rsid w:val="000C25E0"/>
    <w:rsid w:val="000C7074"/>
    <w:rsid w:val="000C7F0E"/>
    <w:rsid w:val="000D1244"/>
    <w:rsid w:val="000D33BE"/>
    <w:rsid w:val="000D3E11"/>
    <w:rsid w:val="000D504D"/>
    <w:rsid w:val="000D6B5F"/>
    <w:rsid w:val="000D73E9"/>
    <w:rsid w:val="000D76EC"/>
    <w:rsid w:val="000E06BA"/>
    <w:rsid w:val="000E0C1D"/>
    <w:rsid w:val="000E1004"/>
    <w:rsid w:val="000E100C"/>
    <w:rsid w:val="000E189D"/>
    <w:rsid w:val="000E1D20"/>
    <w:rsid w:val="000E3ADB"/>
    <w:rsid w:val="000E4D04"/>
    <w:rsid w:val="000E5A62"/>
    <w:rsid w:val="000E7438"/>
    <w:rsid w:val="000E7BEC"/>
    <w:rsid w:val="000F0690"/>
    <w:rsid w:val="000F0731"/>
    <w:rsid w:val="000F076F"/>
    <w:rsid w:val="000F2378"/>
    <w:rsid w:val="000F5D06"/>
    <w:rsid w:val="000F69F4"/>
    <w:rsid w:val="000F6E72"/>
    <w:rsid w:val="000F6F9A"/>
    <w:rsid w:val="0010041B"/>
    <w:rsid w:val="001006BD"/>
    <w:rsid w:val="0010289A"/>
    <w:rsid w:val="00104202"/>
    <w:rsid w:val="00104282"/>
    <w:rsid w:val="00104BE9"/>
    <w:rsid w:val="00106E99"/>
    <w:rsid w:val="00106FFE"/>
    <w:rsid w:val="00110BEC"/>
    <w:rsid w:val="001111DB"/>
    <w:rsid w:val="001114EC"/>
    <w:rsid w:val="00112FA7"/>
    <w:rsid w:val="00113E04"/>
    <w:rsid w:val="001141D2"/>
    <w:rsid w:val="00114214"/>
    <w:rsid w:val="00114A30"/>
    <w:rsid w:val="001154FA"/>
    <w:rsid w:val="00115AD7"/>
    <w:rsid w:val="00116040"/>
    <w:rsid w:val="001168B6"/>
    <w:rsid w:val="001179F3"/>
    <w:rsid w:val="00117BEF"/>
    <w:rsid w:val="00120A86"/>
    <w:rsid w:val="00121560"/>
    <w:rsid w:val="0012160E"/>
    <w:rsid w:val="001219DF"/>
    <w:rsid w:val="0012251F"/>
    <w:rsid w:val="00122F25"/>
    <w:rsid w:val="00124383"/>
    <w:rsid w:val="00125646"/>
    <w:rsid w:val="00125ACE"/>
    <w:rsid w:val="00126102"/>
    <w:rsid w:val="001264DD"/>
    <w:rsid w:val="00126E5C"/>
    <w:rsid w:val="00127000"/>
    <w:rsid w:val="001276E1"/>
    <w:rsid w:val="00127E8F"/>
    <w:rsid w:val="00132956"/>
    <w:rsid w:val="00133498"/>
    <w:rsid w:val="00133FE4"/>
    <w:rsid w:val="001341BD"/>
    <w:rsid w:val="00134CFB"/>
    <w:rsid w:val="0013547D"/>
    <w:rsid w:val="001356CF"/>
    <w:rsid w:val="00136963"/>
    <w:rsid w:val="00137081"/>
    <w:rsid w:val="0014048E"/>
    <w:rsid w:val="00140D66"/>
    <w:rsid w:val="00140E3A"/>
    <w:rsid w:val="00141670"/>
    <w:rsid w:val="00143BA2"/>
    <w:rsid w:val="00143E0B"/>
    <w:rsid w:val="00144520"/>
    <w:rsid w:val="001458D6"/>
    <w:rsid w:val="00146E58"/>
    <w:rsid w:val="00150E15"/>
    <w:rsid w:val="00150F57"/>
    <w:rsid w:val="001521CA"/>
    <w:rsid w:val="001534A3"/>
    <w:rsid w:val="0015351E"/>
    <w:rsid w:val="001539BB"/>
    <w:rsid w:val="001541B0"/>
    <w:rsid w:val="00154CBE"/>
    <w:rsid w:val="001551E1"/>
    <w:rsid w:val="001562EE"/>
    <w:rsid w:val="00157C5D"/>
    <w:rsid w:val="00157EBC"/>
    <w:rsid w:val="0016063B"/>
    <w:rsid w:val="00160BC8"/>
    <w:rsid w:val="00161133"/>
    <w:rsid w:val="001611BF"/>
    <w:rsid w:val="0016170A"/>
    <w:rsid w:val="00163352"/>
    <w:rsid w:val="00163FB7"/>
    <w:rsid w:val="00165921"/>
    <w:rsid w:val="001661F9"/>
    <w:rsid w:val="00166665"/>
    <w:rsid w:val="0017052F"/>
    <w:rsid w:val="0017131E"/>
    <w:rsid w:val="001713A3"/>
    <w:rsid w:val="0017147E"/>
    <w:rsid w:val="00171F14"/>
    <w:rsid w:val="00173155"/>
    <w:rsid w:val="00173464"/>
    <w:rsid w:val="0017513D"/>
    <w:rsid w:val="00175F1E"/>
    <w:rsid w:val="001760E6"/>
    <w:rsid w:val="00176669"/>
    <w:rsid w:val="00176960"/>
    <w:rsid w:val="00177157"/>
    <w:rsid w:val="0017793D"/>
    <w:rsid w:val="001820ED"/>
    <w:rsid w:val="00185F36"/>
    <w:rsid w:val="00186B10"/>
    <w:rsid w:val="00190F49"/>
    <w:rsid w:val="00192542"/>
    <w:rsid w:val="00192EBF"/>
    <w:rsid w:val="00193BCF"/>
    <w:rsid w:val="00194972"/>
    <w:rsid w:val="00194D2F"/>
    <w:rsid w:val="00194E3E"/>
    <w:rsid w:val="00195822"/>
    <w:rsid w:val="0019708F"/>
    <w:rsid w:val="001A0420"/>
    <w:rsid w:val="001A057F"/>
    <w:rsid w:val="001A1CD8"/>
    <w:rsid w:val="001A275B"/>
    <w:rsid w:val="001A276F"/>
    <w:rsid w:val="001A2BEA"/>
    <w:rsid w:val="001A303A"/>
    <w:rsid w:val="001A417C"/>
    <w:rsid w:val="001A4539"/>
    <w:rsid w:val="001A542F"/>
    <w:rsid w:val="001A6D9A"/>
    <w:rsid w:val="001A7019"/>
    <w:rsid w:val="001A7C9A"/>
    <w:rsid w:val="001B0F12"/>
    <w:rsid w:val="001B12FD"/>
    <w:rsid w:val="001B15A3"/>
    <w:rsid w:val="001B1E08"/>
    <w:rsid w:val="001B1FD6"/>
    <w:rsid w:val="001B29A7"/>
    <w:rsid w:val="001B38ED"/>
    <w:rsid w:val="001B3962"/>
    <w:rsid w:val="001B4958"/>
    <w:rsid w:val="001B5601"/>
    <w:rsid w:val="001B6A46"/>
    <w:rsid w:val="001B6BA0"/>
    <w:rsid w:val="001C04CA"/>
    <w:rsid w:val="001C41DE"/>
    <w:rsid w:val="001C5409"/>
    <w:rsid w:val="001C54BA"/>
    <w:rsid w:val="001C64ED"/>
    <w:rsid w:val="001D0C90"/>
    <w:rsid w:val="001D1B5A"/>
    <w:rsid w:val="001D2DC4"/>
    <w:rsid w:val="001D5F4F"/>
    <w:rsid w:val="001D75B2"/>
    <w:rsid w:val="001E08DA"/>
    <w:rsid w:val="001E12FC"/>
    <w:rsid w:val="001E1BA7"/>
    <w:rsid w:val="001E1ED8"/>
    <w:rsid w:val="001E36C3"/>
    <w:rsid w:val="001E42CC"/>
    <w:rsid w:val="001E5623"/>
    <w:rsid w:val="001E5B38"/>
    <w:rsid w:val="001E5E7B"/>
    <w:rsid w:val="001E74A0"/>
    <w:rsid w:val="001E7A6B"/>
    <w:rsid w:val="001E7B00"/>
    <w:rsid w:val="001F0BBC"/>
    <w:rsid w:val="001F14E2"/>
    <w:rsid w:val="001F183D"/>
    <w:rsid w:val="001F419E"/>
    <w:rsid w:val="001F47F5"/>
    <w:rsid w:val="001F4A29"/>
    <w:rsid w:val="001F5C37"/>
    <w:rsid w:val="001F74DB"/>
    <w:rsid w:val="001F7524"/>
    <w:rsid w:val="001F7714"/>
    <w:rsid w:val="001F7A4F"/>
    <w:rsid w:val="00200E93"/>
    <w:rsid w:val="00200F22"/>
    <w:rsid w:val="00203F62"/>
    <w:rsid w:val="00204563"/>
    <w:rsid w:val="002058BD"/>
    <w:rsid w:val="002059AF"/>
    <w:rsid w:val="00205DE4"/>
    <w:rsid w:val="00207578"/>
    <w:rsid w:val="0020762A"/>
    <w:rsid w:val="002100B8"/>
    <w:rsid w:val="0021389A"/>
    <w:rsid w:val="002142EF"/>
    <w:rsid w:val="00214BE9"/>
    <w:rsid w:val="00214FBA"/>
    <w:rsid w:val="0022253A"/>
    <w:rsid w:val="00223CFB"/>
    <w:rsid w:val="002261E8"/>
    <w:rsid w:val="00233E84"/>
    <w:rsid w:val="00234451"/>
    <w:rsid w:val="002344FD"/>
    <w:rsid w:val="00237155"/>
    <w:rsid w:val="002407CF"/>
    <w:rsid w:val="00240836"/>
    <w:rsid w:val="00240B77"/>
    <w:rsid w:val="0024159D"/>
    <w:rsid w:val="002417FD"/>
    <w:rsid w:val="00241D56"/>
    <w:rsid w:val="00242018"/>
    <w:rsid w:val="0024265F"/>
    <w:rsid w:val="00243135"/>
    <w:rsid w:val="002436E6"/>
    <w:rsid w:val="00243B81"/>
    <w:rsid w:val="00245170"/>
    <w:rsid w:val="00247741"/>
    <w:rsid w:val="00247B8E"/>
    <w:rsid w:val="00250983"/>
    <w:rsid w:val="00250D30"/>
    <w:rsid w:val="0025177F"/>
    <w:rsid w:val="00253D87"/>
    <w:rsid w:val="002549C4"/>
    <w:rsid w:val="00255880"/>
    <w:rsid w:val="00255D1C"/>
    <w:rsid w:val="00256AB9"/>
    <w:rsid w:val="0025780C"/>
    <w:rsid w:val="0026282B"/>
    <w:rsid w:val="00262975"/>
    <w:rsid w:val="00264344"/>
    <w:rsid w:val="00266589"/>
    <w:rsid w:val="00266E70"/>
    <w:rsid w:val="002712B3"/>
    <w:rsid w:val="00271C5A"/>
    <w:rsid w:val="00275632"/>
    <w:rsid w:val="00275942"/>
    <w:rsid w:val="00277C75"/>
    <w:rsid w:val="00280170"/>
    <w:rsid w:val="002808F8"/>
    <w:rsid w:val="00281241"/>
    <w:rsid w:val="00281FB6"/>
    <w:rsid w:val="00283643"/>
    <w:rsid w:val="002843A1"/>
    <w:rsid w:val="00284647"/>
    <w:rsid w:val="00287669"/>
    <w:rsid w:val="00287805"/>
    <w:rsid w:val="00287F90"/>
    <w:rsid w:val="00292BB1"/>
    <w:rsid w:val="0029412D"/>
    <w:rsid w:val="0029460C"/>
    <w:rsid w:val="00296120"/>
    <w:rsid w:val="00296266"/>
    <w:rsid w:val="00297220"/>
    <w:rsid w:val="00297781"/>
    <w:rsid w:val="002A13FE"/>
    <w:rsid w:val="002A26A6"/>
    <w:rsid w:val="002A43C0"/>
    <w:rsid w:val="002A592D"/>
    <w:rsid w:val="002A6BBA"/>
    <w:rsid w:val="002B025F"/>
    <w:rsid w:val="002B122E"/>
    <w:rsid w:val="002B1A4E"/>
    <w:rsid w:val="002B2F2B"/>
    <w:rsid w:val="002B4DD2"/>
    <w:rsid w:val="002B7E98"/>
    <w:rsid w:val="002C1692"/>
    <w:rsid w:val="002C1B1E"/>
    <w:rsid w:val="002C2B5F"/>
    <w:rsid w:val="002C2BA2"/>
    <w:rsid w:val="002C2FEA"/>
    <w:rsid w:val="002C4A2E"/>
    <w:rsid w:val="002D026D"/>
    <w:rsid w:val="002D0B9F"/>
    <w:rsid w:val="002D3C81"/>
    <w:rsid w:val="002D585B"/>
    <w:rsid w:val="002D5D88"/>
    <w:rsid w:val="002D6CA3"/>
    <w:rsid w:val="002D6CD0"/>
    <w:rsid w:val="002D75D3"/>
    <w:rsid w:val="002D7D72"/>
    <w:rsid w:val="002E06E2"/>
    <w:rsid w:val="002E305F"/>
    <w:rsid w:val="002E30AD"/>
    <w:rsid w:val="002E3177"/>
    <w:rsid w:val="002E325D"/>
    <w:rsid w:val="002E4585"/>
    <w:rsid w:val="002E695C"/>
    <w:rsid w:val="002F0B16"/>
    <w:rsid w:val="002F0E8D"/>
    <w:rsid w:val="002F43F4"/>
    <w:rsid w:val="002F4AD7"/>
    <w:rsid w:val="002F622C"/>
    <w:rsid w:val="002F6898"/>
    <w:rsid w:val="002F763B"/>
    <w:rsid w:val="002F79DD"/>
    <w:rsid w:val="0030120C"/>
    <w:rsid w:val="00301E4E"/>
    <w:rsid w:val="00303710"/>
    <w:rsid w:val="003044D1"/>
    <w:rsid w:val="00304A98"/>
    <w:rsid w:val="003051AE"/>
    <w:rsid w:val="00306461"/>
    <w:rsid w:val="00310E95"/>
    <w:rsid w:val="00312A67"/>
    <w:rsid w:val="0031600E"/>
    <w:rsid w:val="003164F4"/>
    <w:rsid w:val="00316535"/>
    <w:rsid w:val="00316CE6"/>
    <w:rsid w:val="003226C4"/>
    <w:rsid w:val="003233D5"/>
    <w:rsid w:val="00325924"/>
    <w:rsid w:val="00330A5E"/>
    <w:rsid w:val="003336F5"/>
    <w:rsid w:val="003337BF"/>
    <w:rsid w:val="00333FB9"/>
    <w:rsid w:val="00334B98"/>
    <w:rsid w:val="0033593C"/>
    <w:rsid w:val="00335A5C"/>
    <w:rsid w:val="00335CF5"/>
    <w:rsid w:val="0034128F"/>
    <w:rsid w:val="00341C04"/>
    <w:rsid w:val="00346971"/>
    <w:rsid w:val="00350BDF"/>
    <w:rsid w:val="0035167C"/>
    <w:rsid w:val="00352409"/>
    <w:rsid w:val="0035254B"/>
    <w:rsid w:val="003548B9"/>
    <w:rsid w:val="003550DE"/>
    <w:rsid w:val="0035528D"/>
    <w:rsid w:val="00356805"/>
    <w:rsid w:val="00356819"/>
    <w:rsid w:val="00356978"/>
    <w:rsid w:val="00356AE2"/>
    <w:rsid w:val="0035729C"/>
    <w:rsid w:val="003601EC"/>
    <w:rsid w:val="003619B3"/>
    <w:rsid w:val="00363972"/>
    <w:rsid w:val="003651A4"/>
    <w:rsid w:val="00370EBF"/>
    <w:rsid w:val="0037122E"/>
    <w:rsid w:val="00371603"/>
    <w:rsid w:val="0037291A"/>
    <w:rsid w:val="003729AA"/>
    <w:rsid w:val="00375353"/>
    <w:rsid w:val="00375B98"/>
    <w:rsid w:val="00376956"/>
    <w:rsid w:val="00380657"/>
    <w:rsid w:val="00381D1E"/>
    <w:rsid w:val="003825FA"/>
    <w:rsid w:val="0038309B"/>
    <w:rsid w:val="00383C1A"/>
    <w:rsid w:val="0038421C"/>
    <w:rsid w:val="003863E9"/>
    <w:rsid w:val="003865DB"/>
    <w:rsid w:val="00387B32"/>
    <w:rsid w:val="00391E18"/>
    <w:rsid w:val="00391F1B"/>
    <w:rsid w:val="00392849"/>
    <w:rsid w:val="00392921"/>
    <w:rsid w:val="00393919"/>
    <w:rsid w:val="00393986"/>
    <w:rsid w:val="003950CE"/>
    <w:rsid w:val="0039754C"/>
    <w:rsid w:val="003A03A9"/>
    <w:rsid w:val="003A0DB4"/>
    <w:rsid w:val="003A0ED6"/>
    <w:rsid w:val="003A159A"/>
    <w:rsid w:val="003A2F45"/>
    <w:rsid w:val="003A34AA"/>
    <w:rsid w:val="003A3804"/>
    <w:rsid w:val="003A3B6D"/>
    <w:rsid w:val="003A4299"/>
    <w:rsid w:val="003A542D"/>
    <w:rsid w:val="003A5D02"/>
    <w:rsid w:val="003A5EEC"/>
    <w:rsid w:val="003A695C"/>
    <w:rsid w:val="003B06E9"/>
    <w:rsid w:val="003B0AB6"/>
    <w:rsid w:val="003B2A20"/>
    <w:rsid w:val="003B5310"/>
    <w:rsid w:val="003B596E"/>
    <w:rsid w:val="003B6BE8"/>
    <w:rsid w:val="003C156A"/>
    <w:rsid w:val="003C45C7"/>
    <w:rsid w:val="003C5136"/>
    <w:rsid w:val="003C5E03"/>
    <w:rsid w:val="003C66CC"/>
    <w:rsid w:val="003C7822"/>
    <w:rsid w:val="003D0DAA"/>
    <w:rsid w:val="003D171A"/>
    <w:rsid w:val="003D1768"/>
    <w:rsid w:val="003D48A3"/>
    <w:rsid w:val="003D48D8"/>
    <w:rsid w:val="003D5BC9"/>
    <w:rsid w:val="003D6889"/>
    <w:rsid w:val="003D6D87"/>
    <w:rsid w:val="003E011D"/>
    <w:rsid w:val="003E0989"/>
    <w:rsid w:val="003E0E9C"/>
    <w:rsid w:val="003E109C"/>
    <w:rsid w:val="003E1E51"/>
    <w:rsid w:val="003E2183"/>
    <w:rsid w:val="003E27A2"/>
    <w:rsid w:val="003E2AC4"/>
    <w:rsid w:val="003E4294"/>
    <w:rsid w:val="003E79C9"/>
    <w:rsid w:val="003E7D36"/>
    <w:rsid w:val="003F4E26"/>
    <w:rsid w:val="003F51B0"/>
    <w:rsid w:val="003F5325"/>
    <w:rsid w:val="003F685B"/>
    <w:rsid w:val="003F6E03"/>
    <w:rsid w:val="003F7300"/>
    <w:rsid w:val="004006F4"/>
    <w:rsid w:val="004008AF"/>
    <w:rsid w:val="00400BCB"/>
    <w:rsid w:val="00401855"/>
    <w:rsid w:val="00401BD5"/>
    <w:rsid w:val="004024F5"/>
    <w:rsid w:val="004041F5"/>
    <w:rsid w:val="0040426B"/>
    <w:rsid w:val="00404273"/>
    <w:rsid w:val="004053A2"/>
    <w:rsid w:val="00405E5A"/>
    <w:rsid w:val="00406DE5"/>
    <w:rsid w:val="0040740B"/>
    <w:rsid w:val="00407578"/>
    <w:rsid w:val="00412CCE"/>
    <w:rsid w:val="00413C2F"/>
    <w:rsid w:val="00413EDC"/>
    <w:rsid w:val="004150D9"/>
    <w:rsid w:val="00415D26"/>
    <w:rsid w:val="0041625A"/>
    <w:rsid w:val="0042093B"/>
    <w:rsid w:val="00420C9B"/>
    <w:rsid w:val="004227C0"/>
    <w:rsid w:val="00422E04"/>
    <w:rsid w:val="00423393"/>
    <w:rsid w:val="00424A98"/>
    <w:rsid w:val="00426C08"/>
    <w:rsid w:val="00427131"/>
    <w:rsid w:val="004278AD"/>
    <w:rsid w:val="00431576"/>
    <w:rsid w:val="004331BB"/>
    <w:rsid w:val="004338A1"/>
    <w:rsid w:val="004350D7"/>
    <w:rsid w:val="00436282"/>
    <w:rsid w:val="00436571"/>
    <w:rsid w:val="00441AB5"/>
    <w:rsid w:val="0044449B"/>
    <w:rsid w:val="004463C7"/>
    <w:rsid w:val="00447B04"/>
    <w:rsid w:val="00450CB4"/>
    <w:rsid w:val="0045100A"/>
    <w:rsid w:val="00451AA6"/>
    <w:rsid w:val="004520D4"/>
    <w:rsid w:val="00452EEF"/>
    <w:rsid w:val="004553F6"/>
    <w:rsid w:val="00455895"/>
    <w:rsid w:val="00457281"/>
    <w:rsid w:val="00457E8F"/>
    <w:rsid w:val="00460117"/>
    <w:rsid w:val="00462246"/>
    <w:rsid w:val="00462373"/>
    <w:rsid w:val="004632DE"/>
    <w:rsid w:val="0046376D"/>
    <w:rsid w:val="004643D6"/>
    <w:rsid w:val="004656FF"/>
    <w:rsid w:val="00466326"/>
    <w:rsid w:val="00467110"/>
    <w:rsid w:val="004674E5"/>
    <w:rsid w:val="00471383"/>
    <w:rsid w:val="004716D9"/>
    <w:rsid w:val="004720B4"/>
    <w:rsid w:val="00473743"/>
    <w:rsid w:val="00474321"/>
    <w:rsid w:val="00474DF9"/>
    <w:rsid w:val="00475B05"/>
    <w:rsid w:val="00477323"/>
    <w:rsid w:val="004803E4"/>
    <w:rsid w:val="004807CA"/>
    <w:rsid w:val="00482177"/>
    <w:rsid w:val="00482932"/>
    <w:rsid w:val="004836CB"/>
    <w:rsid w:val="0048419E"/>
    <w:rsid w:val="00484237"/>
    <w:rsid w:val="00485256"/>
    <w:rsid w:val="00485727"/>
    <w:rsid w:val="004859E3"/>
    <w:rsid w:val="004865AA"/>
    <w:rsid w:val="00486CA7"/>
    <w:rsid w:val="0048741E"/>
    <w:rsid w:val="00490317"/>
    <w:rsid w:val="004905E1"/>
    <w:rsid w:val="00492D0E"/>
    <w:rsid w:val="0049314B"/>
    <w:rsid w:val="00495394"/>
    <w:rsid w:val="00496611"/>
    <w:rsid w:val="00497027"/>
    <w:rsid w:val="0049766A"/>
    <w:rsid w:val="0049768C"/>
    <w:rsid w:val="004A3A2B"/>
    <w:rsid w:val="004A585C"/>
    <w:rsid w:val="004A6F36"/>
    <w:rsid w:val="004A76C7"/>
    <w:rsid w:val="004B0E33"/>
    <w:rsid w:val="004B172E"/>
    <w:rsid w:val="004B2562"/>
    <w:rsid w:val="004B2659"/>
    <w:rsid w:val="004B3D7B"/>
    <w:rsid w:val="004B3F3C"/>
    <w:rsid w:val="004B3FCB"/>
    <w:rsid w:val="004B4267"/>
    <w:rsid w:val="004B4D28"/>
    <w:rsid w:val="004B5821"/>
    <w:rsid w:val="004B5A4C"/>
    <w:rsid w:val="004B65DC"/>
    <w:rsid w:val="004C082C"/>
    <w:rsid w:val="004C20B0"/>
    <w:rsid w:val="004C28C6"/>
    <w:rsid w:val="004C294F"/>
    <w:rsid w:val="004C43CE"/>
    <w:rsid w:val="004C47EF"/>
    <w:rsid w:val="004C5514"/>
    <w:rsid w:val="004C5C1C"/>
    <w:rsid w:val="004C755E"/>
    <w:rsid w:val="004D2FD8"/>
    <w:rsid w:val="004D49AF"/>
    <w:rsid w:val="004D4A74"/>
    <w:rsid w:val="004D4FBF"/>
    <w:rsid w:val="004D5F8B"/>
    <w:rsid w:val="004D66F1"/>
    <w:rsid w:val="004E207E"/>
    <w:rsid w:val="004E2CEE"/>
    <w:rsid w:val="004E2DFB"/>
    <w:rsid w:val="004E3E1A"/>
    <w:rsid w:val="004E4856"/>
    <w:rsid w:val="004E5771"/>
    <w:rsid w:val="004E6534"/>
    <w:rsid w:val="004F1181"/>
    <w:rsid w:val="004F24C3"/>
    <w:rsid w:val="004F399B"/>
    <w:rsid w:val="004F42C4"/>
    <w:rsid w:val="004F4E9E"/>
    <w:rsid w:val="004F52CD"/>
    <w:rsid w:val="004F54FA"/>
    <w:rsid w:val="004F5F9C"/>
    <w:rsid w:val="004F6F72"/>
    <w:rsid w:val="004F7181"/>
    <w:rsid w:val="00501416"/>
    <w:rsid w:val="00502556"/>
    <w:rsid w:val="00502DB9"/>
    <w:rsid w:val="00504EBC"/>
    <w:rsid w:val="00510933"/>
    <w:rsid w:val="00511458"/>
    <w:rsid w:val="005128E7"/>
    <w:rsid w:val="005137D3"/>
    <w:rsid w:val="005150DC"/>
    <w:rsid w:val="00515509"/>
    <w:rsid w:val="00515F1C"/>
    <w:rsid w:val="005217FE"/>
    <w:rsid w:val="00521F24"/>
    <w:rsid w:val="00521F5C"/>
    <w:rsid w:val="005242CD"/>
    <w:rsid w:val="00524FF9"/>
    <w:rsid w:val="005254A1"/>
    <w:rsid w:val="00527582"/>
    <w:rsid w:val="00531E61"/>
    <w:rsid w:val="005325A0"/>
    <w:rsid w:val="00536F4F"/>
    <w:rsid w:val="005400DD"/>
    <w:rsid w:val="00541216"/>
    <w:rsid w:val="00541E5D"/>
    <w:rsid w:val="00543A15"/>
    <w:rsid w:val="00543CAD"/>
    <w:rsid w:val="00545885"/>
    <w:rsid w:val="005468C8"/>
    <w:rsid w:val="00547084"/>
    <w:rsid w:val="00547DC1"/>
    <w:rsid w:val="0055041E"/>
    <w:rsid w:val="00551E01"/>
    <w:rsid w:val="00553366"/>
    <w:rsid w:val="0055599D"/>
    <w:rsid w:val="005573E6"/>
    <w:rsid w:val="005600F8"/>
    <w:rsid w:val="00560E12"/>
    <w:rsid w:val="00562382"/>
    <w:rsid w:val="00562563"/>
    <w:rsid w:val="00562E53"/>
    <w:rsid w:val="00562E9D"/>
    <w:rsid w:val="00564783"/>
    <w:rsid w:val="00565365"/>
    <w:rsid w:val="005653E2"/>
    <w:rsid w:val="00566C9C"/>
    <w:rsid w:val="00571737"/>
    <w:rsid w:val="00572CF1"/>
    <w:rsid w:val="0057476D"/>
    <w:rsid w:val="00575B8C"/>
    <w:rsid w:val="0057643A"/>
    <w:rsid w:val="00577367"/>
    <w:rsid w:val="005779FC"/>
    <w:rsid w:val="00577C58"/>
    <w:rsid w:val="0058054C"/>
    <w:rsid w:val="00580DD2"/>
    <w:rsid w:val="00581251"/>
    <w:rsid w:val="00581F7F"/>
    <w:rsid w:val="0058250F"/>
    <w:rsid w:val="00584835"/>
    <w:rsid w:val="00585530"/>
    <w:rsid w:val="00585F3A"/>
    <w:rsid w:val="005869DD"/>
    <w:rsid w:val="00590D70"/>
    <w:rsid w:val="005918F9"/>
    <w:rsid w:val="0059213B"/>
    <w:rsid w:val="00592DC8"/>
    <w:rsid w:val="00594B1F"/>
    <w:rsid w:val="00597420"/>
    <w:rsid w:val="00597B96"/>
    <w:rsid w:val="005A0DE6"/>
    <w:rsid w:val="005A1609"/>
    <w:rsid w:val="005A3064"/>
    <w:rsid w:val="005A49CB"/>
    <w:rsid w:val="005A5A5F"/>
    <w:rsid w:val="005A71E8"/>
    <w:rsid w:val="005A76EA"/>
    <w:rsid w:val="005B21B7"/>
    <w:rsid w:val="005B37DA"/>
    <w:rsid w:val="005B4CA0"/>
    <w:rsid w:val="005B5044"/>
    <w:rsid w:val="005B68C9"/>
    <w:rsid w:val="005B6E49"/>
    <w:rsid w:val="005B70F4"/>
    <w:rsid w:val="005C1E3E"/>
    <w:rsid w:val="005C20D5"/>
    <w:rsid w:val="005C243C"/>
    <w:rsid w:val="005C3769"/>
    <w:rsid w:val="005C4654"/>
    <w:rsid w:val="005C4E58"/>
    <w:rsid w:val="005C5206"/>
    <w:rsid w:val="005C5A57"/>
    <w:rsid w:val="005C5EF8"/>
    <w:rsid w:val="005D0DB1"/>
    <w:rsid w:val="005D109C"/>
    <w:rsid w:val="005D12D7"/>
    <w:rsid w:val="005D1624"/>
    <w:rsid w:val="005D1924"/>
    <w:rsid w:val="005D2519"/>
    <w:rsid w:val="005D298D"/>
    <w:rsid w:val="005D2E07"/>
    <w:rsid w:val="005D572D"/>
    <w:rsid w:val="005D57D6"/>
    <w:rsid w:val="005E216A"/>
    <w:rsid w:val="005E4042"/>
    <w:rsid w:val="005E62C2"/>
    <w:rsid w:val="005E6F78"/>
    <w:rsid w:val="005E7467"/>
    <w:rsid w:val="005F17FE"/>
    <w:rsid w:val="005F2B92"/>
    <w:rsid w:val="005F3487"/>
    <w:rsid w:val="005F39D1"/>
    <w:rsid w:val="005F3B22"/>
    <w:rsid w:val="005F44EA"/>
    <w:rsid w:val="005F6740"/>
    <w:rsid w:val="005F6E44"/>
    <w:rsid w:val="005F78BF"/>
    <w:rsid w:val="0060142A"/>
    <w:rsid w:val="00602260"/>
    <w:rsid w:val="00604D5C"/>
    <w:rsid w:val="0060547A"/>
    <w:rsid w:val="00605AB3"/>
    <w:rsid w:val="00607E23"/>
    <w:rsid w:val="006106DC"/>
    <w:rsid w:val="006108B2"/>
    <w:rsid w:val="00615E6E"/>
    <w:rsid w:val="00616489"/>
    <w:rsid w:val="00617EB2"/>
    <w:rsid w:val="00620192"/>
    <w:rsid w:val="006205A6"/>
    <w:rsid w:val="00621F6A"/>
    <w:rsid w:val="00622025"/>
    <w:rsid w:val="0062205B"/>
    <w:rsid w:val="00622730"/>
    <w:rsid w:val="00624EB6"/>
    <w:rsid w:val="00626611"/>
    <w:rsid w:val="00626B73"/>
    <w:rsid w:val="00626E37"/>
    <w:rsid w:val="006300C3"/>
    <w:rsid w:val="00632D43"/>
    <w:rsid w:val="006341A3"/>
    <w:rsid w:val="00634BFB"/>
    <w:rsid w:val="00635047"/>
    <w:rsid w:val="00636AB1"/>
    <w:rsid w:val="00642EA3"/>
    <w:rsid w:val="006437A2"/>
    <w:rsid w:val="00644530"/>
    <w:rsid w:val="006456EF"/>
    <w:rsid w:val="00650766"/>
    <w:rsid w:val="00651A71"/>
    <w:rsid w:val="00652DA0"/>
    <w:rsid w:val="00653051"/>
    <w:rsid w:val="00653E30"/>
    <w:rsid w:val="006545C3"/>
    <w:rsid w:val="006564AC"/>
    <w:rsid w:val="00657A24"/>
    <w:rsid w:val="00657E39"/>
    <w:rsid w:val="00660469"/>
    <w:rsid w:val="006609B0"/>
    <w:rsid w:val="00664333"/>
    <w:rsid w:val="00665254"/>
    <w:rsid w:val="006652BC"/>
    <w:rsid w:val="00665B58"/>
    <w:rsid w:val="0066735F"/>
    <w:rsid w:val="00670685"/>
    <w:rsid w:val="00671EAF"/>
    <w:rsid w:val="00671EB1"/>
    <w:rsid w:val="00673738"/>
    <w:rsid w:val="00673989"/>
    <w:rsid w:val="00673C0A"/>
    <w:rsid w:val="006748B1"/>
    <w:rsid w:val="00675531"/>
    <w:rsid w:val="006770FF"/>
    <w:rsid w:val="00677517"/>
    <w:rsid w:val="0068159E"/>
    <w:rsid w:val="006818F2"/>
    <w:rsid w:val="00683932"/>
    <w:rsid w:val="00684298"/>
    <w:rsid w:val="00685689"/>
    <w:rsid w:val="00687A62"/>
    <w:rsid w:val="00691158"/>
    <w:rsid w:val="00692107"/>
    <w:rsid w:val="00694ABB"/>
    <w:rsid w:val="006959D9"/>
    <w:rsid w:val="00696178"/>
    <w:rsid w:val="00697DB3"/>
    <w:rsid w:val="006A0C63"/>
    <w:rsid w:val="006A36DE"/>
    <w:rsid w:val="006A3F4C"/>
    <w:rsid w:val="006A48B5"/>
    <w:rsid w:val="006A616B"/>
    <w:rsid w:val="006A7E1B"/>
    <w:rsid w:val="006B1AC6"/>
    <w:rsid w:val="006B4EEA"/>
    <w:rsid w:val="006B5621"/>
    <w:rsid w:val="006B5EE1"/>
    <w:rsid w:val="006B61D1"/>
    <w:rsid w:val="006B6908"/>
    <w:rsid w:val="006B71F6"/>
    <w:rsid w:val="006B75B2"/>
    <w:rsid w:val="006C209C"/>
    <w:rsid w:val="006C6E46"/>
    <w:rsid w:val="006C7219"/>
    <w:rsid w:val="006D16A7"/>
    <w:rsid w:val="006D1E94"/>
    <w:rsid w:val="006D1FF0"/>
    <w:rsid w:val="006D25B1"/>
    <w:rsid w:val="006D2803"/>
    <w:rsid w:val="006D2C63"/>
    <w:rsid w:val="006D3E49"/>
    <w:rsid w:val="006D3F85"/>
    <w:rsid w:val="006D4F53"/>
    <w:rsid w:val="006D5EFB"/>
    <w:rsid w:val="006D633E"/>
    <w:rsid w:val="006D73B5"/>
    <w:rsid w:val="006D7F91"/>
    <w:rsid w:val="006E130E"/>
    <w:rsid w:val="006E1D32"/>
    <w:rsid w:val="006E21EA"/>
    <w:rsid w:val="006E231A"/>
    <w:rsid w:val="006E23B3"/>
    <w:rsid w:val="006E335A"/>
    <w:rsid w:val="006E4246"/>
    <w:rsid w:val="006E5E22"/>
    <w:rsid w:val="006E67A2"/>
    <w:rsid w:val="006E68A3"/>
    <w:rsid w:val="006E6B65"/>
    <w:rsid w:val="006E6D1E"/>
    <w:rsid w:val="006F06E4"/>
    <w:rsid w:val="006F1178"/>
    <w:rsid w:val="006F1B03"/>
    <w:rsid w:val="006F3903"/>
    <w:rsid w:val="006F6220"/>
    <w:rsid w:val="006F64B0"/>
    <w:rsid w:val="006F6B3F"/>
    <w:rsid w:val="00700810"/>
    <w:rsid w:val="00701A50"/>
    <w:rsid w:val="00701E99"/>
    <w:rsid w:val="00702376"/>
    <w:rsid w:val="0070262A"/>
    <w:rsid w:val="00702637"/>
    <w:rsid w:val="00703B7F"/>
    <w:rsid w:val="0070515B"/>
    <w:rsid w:val="007067D4"/>
    <w:rsid w:val="007070F8"/>
    <w:rsid w:val="00707994"/>
    <w:rsid w:val="007104FA"/>
    <w:rsid w:val="00710659"/>
    <w:rsid w:val="00710B0D"/>
    <w:rsid w:val="00710B29"/>
    <w:rsid w:val="00711023"/>
    <w:rsid w:val="00713BC9"/>
    <w:rsid w:val="00715C1B"/>
    <w:rsid w:val="00716142"/>
    <w:rsid w:val="00717A98"/>
    <w:rsid w:val="007201D1"/>
    <w:rsid w:val="00720730"/>
    <w:rsid w:val="007212AD"/>
    <w:rsid w:val="00723068"/>
    <w:rsid w:val="0072653A"/>
    <w:rsid w:val="00726B0C"/>
    <w:rsid w:val="00726CB2"/>
    <w:rsid w:val="007279E8"/>
    <w:rsid w:val="0073416A"/>
    <w:rsid w:val="007352BA"/>
    <w:rsid w:val="007378A8"/>
    <w:rsid w:val="0074161C"/>
    <w:rsid w:val="00742A01"/>
    <w:rsid w:val="00744887"/>
    <w:rsid w:val="007448E1"/>
    <w:rsid w:val="00744A01"/>
    <w:rsid w:val="0074588C"/>
    <w:rsid w:val="007476D2"/>
    <w:rsid w:val="00751DAE"/>
    <w:rsid w:val="00751DC5"/>
    <w:rsid w:val="007544D5"/>
    <w:rsid w:val="00755423"/>
    <w:rsid w:val="00757A04"/>
    <w:rsid w:val="0076094A"/>
    <w:rsid w:val="007615FC"/>
    <w:rsid w:val="00762280"/>
    <w:rsid w:val="007630BA"/>
    <w:rsid w:val="007630CB"/>
    <w:rsid w:val="0077339D"/>
    <w:rsid w:val="00780116"/>
    <w:rsid w:val="007835A5"/>
    <w:rsid w:val="00785380"/>
    <w:rsid w:val="00785EA4"/>
    <w:rsid w:val="00786E8D"/>
    <w:rsid w:val="007876FF"/>
    <w:rsid w:val="00791B0A"/>
    <w:rsid w:val="00792914"/>
    <w:rsid w:val="00792E07"/>
    <w:rsid w:val="007930C6"/>
    <w:rsid w:val="00793F0B"/>
    <w:rsid w:val="007943B5"/>
    <w:rsid w:val="007A0102"/>
    <w:rsid w:val="007A1264"/>
    <w:rsid w:val="007A1844"/>
    <w:rsid w:val="007A25B4"/>
    <w:rsid w:val="007A3F05"/>
    <w:rsid w:val="007A414F"/>
    <w:rsid w:val="007A5D0C"/>
    <w:rsid w:val="007A5EFB"/>
    <w:rsid w:val="007A60BF"/>
    <w:rsid w:val="007A7375"/>
    <w:rsid w:val="007B1215"/>
    <w:rsid w:val="007B284A"/>
    <w:rsid w:val="007B580E"/>
    <w:rsid w:val="007B5A95"/>
    <w:rsid w:val="007B695E"/>
    <w:rsid w:val="007B6E5F"/>
    <w:rsid w:val="007B77B7"/>
    <w:rsid w:val="007C128F"/>
    <w:rsid w:val="007C26B9"/>
    <w:rsid w:val="007C2D10"/>
    <w:rsid w:val="007C356E"/>
    <w:rsid w:val="007C50ED"/>
    <w:rsid w:val="007C6466"/>
    <w:rsid w:val="007C6468"/>
    <w:rsid w:val="007D0015"/>
    <w:rsid w:val="007D03F9"/>
    <w:rsid w:val="007D0C30"/>
    <w:rsid w:val="007D2DB3"/>
    <w:rsid w:val="007D3D92"/>
    <w:rsid w:val="007D480B"/>
    <w:rsid w:val="007D4DD8"/>
    <w:rsid w:val="007E0BCA"/>
    <w:rsid w:val="007E1098"/>
    <w:rsid w:val="007E15DE"/>
    <w:rsid w:val="007E3074"/>
    <w:rsid w:val="007E365C"/>
    <w:rsid w:val="007E37A6"/>
    <w:rsid w:val="007E6543"/>
    <w:rsid w:val="007E7AC1"/>
    <w:rsid w:val="007E7B31"/>
    <w:rsid w:val="007F0E32"/>
    <w:rsid w:val="007F107F"/>
    <w:rsid w:val="007F1A48"/>
    <w:rsid w:val="007F2292"/>
    <w:rsid w:val="007F2CAE"/>
    <w:rsid w:val="007F3577"/>
    <w:rsid w:val="007F375F"/>
    <w:rsid w:val="007F40B1"/>
    <w:rsid w:val="007F4659"/>
    <w:rsid w:val="007F46B4"/>
    <w:rsid w:val="007F5509"/>
    <w:rsid w:val="007F5616"/>
    <w:rsid w:val="007F5971"/>
    <w:rsid w:val="007F65AF"/>
    <w:rsid w:val="007F75BF"/>
    <w:rsid w:val="007F788C"/>
    <w:rsid w:val="007F7FA8"/>
    <w:rsid w:val="00800D56"/>
    <w:rsid w:val="00802126"/>
    <w:rsid w:val="008037C6"/>
    <w:rsid w:val="008054D2"/>
    <w:rsid w:val="008058EB"/>
    <w:rsid w:val="00805E01"/>
    <w:rsid w:val="008067A9"/>
    <w:rsid w:val="00810375"/>
    <w:rsid w:val="0081165A"/>
    <w:rsid w:val="00811DBA"/>
    <w:rsid w:val="0081427C"/>
    <w:rsid w:val="0081493A"/>
    <w:rsid w:val="00815FC7"/>
    <w:rsid w:val="008165B4"/>
    <w:rsid w:val="00824152"/>
    <w:rsid w:val="00825245"/>
    <w:rsid w:val="00826258"/>
    <w:rsid w:val="00826B57"/>
    <w:rsid w:val="00827034"/>
    <w:rsid w:val="008325F8"/>
    <w:rsid w:val="0083317A"/>
    <w:rsid w:val="00835EDD"/>
    <w:rsid w:val="008364D1"/>
    <w:rsid w:val="00836AFE"/>
    <w:rsid w:val="00836F52"/>
    <w:rsid w:val="0084088D"/>
    <w:rsid w:val="00840E0E"/>
    <w:rsid w:val="00840E8D"/>
    <w:rsid w:val="008429AF"/>
    <w:rsid w:val="00842EDC"/>
    <w:rsid w:val="008433C6"/>
    <w:rsid w:val="0084353A"/>
    <w:rsid w:val="0084389E"/>
    <w:rsid w:val="00845232"/>
    <w:rsid w:val="008463E1"/>
    <w:rsid w:val="00852BDB"/>
    <w:rsid w:val="00853C38"/>
    <w:rsid w:val="008544CD"/>
    <w:rsid w:val="008546D4"/>
    <w:rsid w:val="00854B60"/>
    <w:rsid w:val="0085695B"/>
    <w:rsid w:val="00857553"/>
    <w:rsid w:val="00860FAB"/>
    <w:rsid w:val="00862EE8"/>
    <w:rsid w:val="00863706"/>
    <w:rsid w:val="0086579F"/>
    <w:rsid w:val="00870367"/>
    <w:rsid w:val="008723BD"/>
    <w:rsid w:val="00873433"/>
    <w:rsid w:val="00873C5A"/>
    <w:rsid w:val="008757DF"/>
    <w:rsid w:val="0087590E"/>
    <w:rsid w:val="008768FD"/>
    <w:rsid w:val="00876BA2"/>
    <w:rsid w:val="008778CC"/>
    <w:rsid w:val="00877D7D"/>
    <w:rsid w:val="00880E57"/>
    <w:rsid w:val="00881501"/>
    <w:rsid w:val="008837D9"/>
    <w:rsid w:val="00883939"/>
    <w:rsid w:val="008856B4"/>
    <w:rsid w:val="00886F13"/>
    <w:rsid w:val="008871E4"/>
    <w:rsid w:val="008875CD"/>
    <w:rsid w:val="008903A0"/>
    <w:rsid w:val="00891542"/>
    <w:rsid w:val="00892914"/>
    <w:rsid w:val="00892D52"/>
    <w:rsid w:val="00894F3F"/>
    <w:rsid w:val="00895967"/>
    <w:rsid w:val="00896D27"/>
    <w:rsid w:val="008A3029"/>
    <w:rsid w:val="008A38CC"/>
    <w:rsid w:val="008A5399"/>
    <w:rsid w:val="008A6EB5"/>
    <w:rsid w:val="008A739F"/>
    <w:rsid w:val="008A762B"/>
    <w:rsid w:val="008B311E"/>
    <w:rsid w:val="008B383A"/>
    <w:rsid w:val="008B3D21"/>
    <w:rsid w:val="008B6B75"/>
    <w:rsid w:val="008B6D46"/>
    <w:rsid w:val="008B774A"/>
    <w:rsid w:val="008C07A5"/>
    <w:rsid w:val="008C128F"/>
    <w:rsid w:val="008C13F7"/>
    <w:rsid w:val="008C1B27"/>
    <w:rsid w:val="008C2CDB"/>
    <w:rsid w:val="008C3EEF"/>
    <w:rsid w:val="008C4C8D"/>
    <w:rsid w:val="008C5C2F"/>
    <w:rsid w:val="008C65DC"/>
    <w:rsid w:val="008C7B0C"/>
    <w:rsid w:val="008D1069"/>
    <w:rsid w:val="008D12B5"/>
    <w:rsid w:val="008D1F0C"/>
    <w:rsid w:val="008D3BC0"/>
    <w:rsid w:val="008D5D34"/>
    <w:rsid w:val="008D6461"/>
    <w:rsid w:val="008D68DB"/>
    <w:rsid w:val="008D738D"/>
    <w:rsid w:val="008E0977"/>
    <w:rsid w:val="008E0B93"/>
    <w:rsid w:val="008E0FC3"/>
    <w:rsid w:val="008E4186"/>
    <w:rsid w:val="008E4984"/>
    <w:rsid w:val="008E5B79"/>
    <w:rsid w:val="008F381B"/>
    <w:rsid w:val="008F3D13"/>
    <w:rsid w:val="008F5C12"/>
    <w:rsid w:val="00902DE5"/>
    <w:rsid w:val="009050FA"/>
    <w:rsid w:val="0090543B"/>
    <w:rsid w:val="009059EB"/>
    <w:rsid w:val="009065B2"/>
    <w:rsid w:val="00906B6B"/>
    <w:rsid w:val="00906DF5"/>
    <w:rsid w:val="00906FD4"/>
    <w:rsid w:val="0090766B"/>
    <w:rsid w:val="00907CD5"/>
    <w:rsid w:val="00907EF2"/>
    <w:rsid w:val="00910575"/>
    <w:rsid w:val="00910A46"/>
    <w:rsid w:val="009118CD"/>
    <w:rsid w:val="00913AF8"/>
    <w:rsid w:val="0091565A"/>
    <w:rsid w:val="009158E6"/>
    <w:rsid w:val="0091720A"/>
    <w:rsid w:val="00917D30"/>
    <w:rsid w:val="00917DD8"/>
    <w:rsid w:val="00921219"/>
    <w:rsid w:val="009232F3"/>
    <w:rsid w:val="00923B0F"/>
    <w:rsid w:val="00924097"/>
    <w:rsid w:val="00925622"/>
    <w:rsid w:val="00925803"/>
    <w:rsid w:val="00926A41"/>
    <w:rsid w:val="00930B39"/>
    <w:rsid w:val="0093150F"/>
    <w:rsid w:val="0093194C"/>
    <w:rsid w:val="0093210A"/>
    <w:rsid w:val="009324A6"/>
    <w:rsid w:val="00932888"/>
    <w:rsid w:val="00932F1B"/>
    <w:rsid w:val="00933BEE"/>
    <w:rsid w:val="00933D6A"/>
    <w:rsid w:val="009377A0"/>
    <w:rsid w:val="00937DDD"/>
    <w:rsid w:val="0094008A"/>
    <w:rsid w:val="00942415"/>
    <w:rsid w:val="00942918"/>
    <w:rsid w:val="00942999"/>
    <w:rsid w:val="00944294"/>
    <w:rsid w:val="009473BE"/>
    <w:rsid w:val="009501AA"/>
    <w:rsid w:val="009507B2"/>
    <w:rsid w:val="00950DE8"/>
    <w:rsid w:val="00951AD0"/>
    <w:rsid w:val="0095211C"/>
    <w:rsid w:val="0095217B"/>
    <w:rsid w:val="00952578"/>
    <w:rsid w:val="00952DF0"/>
    <w:rsid w:val="00955FC0"/>
    <w:rsid w:val="00956040"/>
    <w:rsid w:val="009563BC"/>
    <w:rsid w:val="00956B75"/>
    <w:rsid w:val="00957914"/>
    <w:rsid w:val="00960F0F"/>
    <w:rsid w:val="00961476"/>
    <w:rsid w:val="009618E3"/>
    <w:rsid w:val="00961B66"/>
    <w:rsid w:val="00964EC8"/>
    <w:rsid w:val="00964F1E"/>
    <w:rsid w:val="0096503D"/>
    <w:rsid w:val="00966AB4"/>
    <w:rsid w:val="009738A1"/>
    <w:rsid w:val="009754ED"/>
    <w:rsid w:val="009770D4"/>
    <w:rsid w:val="009772B1"/>
    <w:rsid w:val="009775D5"/>
    <w:rsid w:val="0097772B"/>
    <w:rsid w:val="0098491F"/>
    <w:rsid w:val="00986E74"/>
    <w:rsid w:val="009901DC"/>
    <w:rsid w:val="00991164"/>
    <w:rsid w:val="009918A3"/>
    <w:rsid w:val="009933F8"/>
    <w:rsid w:val="00995C9E"/>
    <w:rsid w:val="00997BFC"/>
    <w:rsid w:val="009A048C"/>
    <w:rsid w:val="009A126A"/>
    <w:rsid w:val="009A13A4"/>
    <w:rsid w:val="009A3BD2"/>
    <w:rsid w:val="009A3DD3"/>
    <w:rsid w:val="009A49B6"/>
    <w:rsid w:val="009A5C36"/>
    <w:rsid w:val="009A6E71"/>
    <w:rsid w:val="009A7819"/>
    <w:rsid w:val="009B079B"/>
    <w:rsid w:val="009B190D"/>
    <w:rsid w:val="009B297D"/>
    <w:rsid w:val="009B442D"/>
    <w:rsid w:val="009B5011"/>
    <w:rsid w:val="009B5ABD"/>
    <w:rsid w:val="009B5CE0"/>
    <w:rsid w:val="009B5EEC"/>
    <w:rsid w:val="009B7197"/>
    <w:rsid w:val="009C0105"/>
    <w:rsid w:val="009C0F6C"/>
    <w:rsid w:val="009C1305"/>
    <w:rsid w:val="009C59CF"/>
    <w:rsid w:val="009C5C22"/>
    <w:rsid w:val="009C6D77"/>
    <w:rsid w:val="009C6F47"/>
    <w:rsid w:val="009D172C"/>
    <w:rsid w:val="009D3C4B"/>
    <w:rsid w:val="009D5974"/>
    <w:rsid w:val="009D6A3B"/>
    <w:rsid w:val="009D71CA"/>
    <w:rsid w:val="009D7A14"/>
    <w:rsid w:val="009E0111"/>
    <w:rsid w:val="009E13BE"/>
    <w:rsid w:val="009E1D97"/>
    <w:rsid w:val="009E361F"/>
    <w:rsid w:val="009E3FB1"/>
    <w:rsid w:val="009E79D1"/>
    <w:rsid w:val="009F030A"/>
    <w:rsid w:val="009F3159"/>
    <w:rsid w:val="009F4562"/>
    <w:rsid w:val="009F4B86"/>
    <w:rsid w:val="009F4CD1"/>
    <w:rsid w:val="009F633D"/>
    <w:rsid w:val="009F6454"/>
    <w:rsid w:val="009F7F2A"/>
    <w:rsid w:val="00A00009"/>
    <w:rsid w:val="00A03A10"/>
    <w:rsid w:val="00A042FC"/>
    <w:rsid w:val="00A060AE"/>
    <w:rsid w:val="00A06338"/>
    <w:rsid w:val="00A07697"/>
    <w:rsid w:val="00A109EB"/>
    <w:rsid w:val="00A11B6C"/>
    <w:rsid w:val="00A12FBA"/>
    <w:rsid w:val="00A132F2"/>
    <w:rsid w:val="00A1555E"/>
    <w:rsid w:val="00A15AFF"/>
    <w:rsid w:val="00A15BB8"/>
    <w:rsid w:val="00A15BEA"/>
    <w:rsid w:val="00A16EFF"/>
    <w:rsid w:val="00A17118"/>
    <w:rsid w:val="00A2003C"/>
    <w:rsid w:val="00A201DF"/>
    <w:rsid w:val="00A20691"/>
    <w:rsid w:val="00A20DD6"/>
    <w:rsid w:val="00A224E9"/>
    <w:rsid w:val="00A236F7"/>
    <w:rsid w:val="00A23D3C"/>
    <w:rsid w:val="00A24610"/>
    <w:rsid w:val="00A26147"/>
    <w:rsid w:val="00A267FB"/>
    <w:rsid w:val="00A26CA3"/>
    <w:rsid w:val="00A27895"/>
    <w:rsid w:val="00A31316"/>
    <w:rsid w:val="00A3150B"/>
    <w:rsid w:val="00A32034"/>
    <w:rsid w:val="00A33500"/>
    <w:rsid w:val="00A33909"/>
    <w:rsid w:val="00A33F9A"/>
    <w:rsid w:val="00A354B7"/>
    <w:rsid w:val="00A364E2"/>
    <w:rsid w:val="00A379CD"/>
    <w:rsid w:val="00A37D25"/>
    <w:rsid w:val="00A40284"/>
    <w:rsid w:val="00A4103D"/>
    <w:rsid w:val="00A41F1E"/>
    <w:rsid w:val="00A42143"/>
    <w:rsid w:val="00A427D2"/>
    <w:rsid w:val="00A44415"/>
    <w:rsid w:val="00A4475F"/>
    <w:rsid w:val="00A46550"/>
    <w:rsid w:val="00A522C5"/>
    <w:rsid w:val="00A52324"/>
    <w:rsid w:val="00A52B85"/>
    <w:rsid w:val="00A53A99"/>
    <w:rsid w:val="00A56398"/>
    <w:rsid w:val="00A56D16"/>
    <w:rsid w:val="00A57E38"/>
    <w:rsid w:val="00A60C91"/>
    <w:rsid w:val="00A622E0"/>
    <w:rsid w:val="00A636A0"/>
    <w:rsid w:val="00A6427B"/>
    <w:rsid w:val="00A70612"/>
    <w:rsid w:val="00A70839"/>
    <w:rsid w:val="00A745C0"/>
    <w:rsid w:val="00A75748"/>
    <w:rsid w:val="00A77EBD"/>
    <w:rsid w:val="00A81A34"/>
    <w:rsid w:val="00A81ED8"/>
    <w:rsid w:val="00A8321C"/>
    <w:rsid w:val="00A83DE9"/>
    <w:rsid w:val="00A8491C"/>
    <w:rsid w:val="00A85A73"/>
    <w:rsid w:val="00A867CB"/>
    <w:rsid w:val="00A900A1"/>
    <w:rsid w:val="00A90339"/>
    <w:rsid w:val="00A910B7"/>
    <w:rsid w:val="00A92D33"/>
    <w:rsid w:val="00A93531"/>
    <w:rsid w:val="00A94A86"/>
    <w:rsid w:val="00A94F10"/>
    <w:rsid w:val="00A95755"/>
    <w:rsid w:val="00A96F8C"/>
    <w:rsid w:val="00A97DE1"/>
    <w:rsid w:val="00AA0520"/>
    <w:rsid w:val="00AA09AE"/>
    <w:rsid w:val="00AA2A76"/>
    <w:rsid w:val="00AA3C8C"/>
    <w:rsid w:val="00AA3D02"/>
    <w:rsid w:val="00AA4792"/>
    <w:rsid w:val="00AA5DAC"/>
    <w:rsid w:val="00AA7DAE"/>
    <w:rsid w:val="00AB0174"/>
    <w:rsid w:val="00AB1643"/>
    <w:rsid w:val="00AB4557"/>
    <w:rsid w:val="00AB500D"/>
    <w:rsid w:val="00AB5B0C"/>
    <w:rsid w:val="00AB74AB"/>
    <w:rsid w:val="00AC054E"/>
    <w:rsid w:val="00AC0A7D"/>
    <w:rsid w:val="00AC1A0C"/>
    <w:rsid w:val="00AC3179"/>
    <w:rsid w:val="00AC39C4"/>
    <w:rsid w:val="00AC6D79"/>
    <w:rsid w:val="00AC7058"/>
    <w:rsid w:val="00AC7435"/>
    <w:rsid w:val="00AC7FD1"/>
    <w:rsid w:val="00AD0A0E"/>
    <w:rsid w:val="00AD2535"/>
    <w:rsid w:val="00AD3CCF"/>
    <w:rsid w:val="00AD72F4"/>
    <w:rsid w:val="00AE0A8C"/>
    <w:rsid w:val="00AE0BE7"/>
    <w:rsid w:val="00AE14BE"/>
    <w:rsid w:val="00AE36A4"/>
    <w:rsid w:val="00AE37B3"/>
    <w:rsid w:val="00AE3800"/>
    <w:rsid w:val="00AE5141"/>
    <w:rsid w:val="00AE715F"/>
    <w:rsid w:val="00AF1448"/>
    <w:rsid w:val="00AF245F"/>
    <w:rsid w:val="00AF2C83"/>
    <w:rsid w:val="00AF2D00"/>
    <w:rsid w:val="00AF5227"/>
    <w:rsid w:val="00B013A6"/>
    <w:rsid w:val="00B0275E"/>
    <w:rsid w:val="00B031D9"/>
    <w:rsid w:val="00B03630"/>
    <w:rsid w:val="00B03FCA"/>
    <w:rsid w:val="00B041DF"/>
    <w:rsid w:val="00B05781"/>
    <w:rsid w:val="00B10212"/>
    <w:rsid w:val="00B127DC"/>
    <w:rsid w:val="00B1297A"/>
    <w:rsid w:val="00B129F6"/>
    <w:rsid w:val="00B14302"/>
    <w:rsid w:val="00B179D0"/>
    <w:rsid w:val="00B200ED"/>
    <w:rsid w:val="00B21166"/>
    <w:rsid w:val="00B21603"/>
    <w:rsid w:val="00B21831"/>
    <w:rsid w:val="00B21B60"/>
    <w:rsid w:val="00B2306C"/>
    <w:rsid w:val="00B24C59"/>
    <w:rsid w:val="00B25B26"/>
    <w:rsid w:val="00B26028"/>
    <w:rsid w:val="00B264A2"/>
    <w:rsid w:val="00B27F83"/>
    <w:rsid w:val="00B311B8"/>
    <w:rsid w:val="00B314BD"/>
    <w:rsid w:val="00B31D55"/>
    <w:rsid w:val="00B32DCA"/>
    <w:rsid w:val="00B331BF"/>
    <w:rsid w:val="00B3442A"/>
    <w:rsid w:val="00B34798"/>
    <w:rsid w:val="00B35B15"/>
    <w:rsid w:val="00B378C6"/>
    <w:rsid w:val="00B4098A"/>
    <w:rsid w:val="00B40D0A"/>
    <w:rsid w:val="00B40F4E"/>
    <w:rsid w:val="00B41EEA"/>
    <w:rsid w:val="00B428E2"/>
    <w:rsid w:val="00B4444C"/>
    <w:rsid w:val="00B46DAC"/>
    <w:rsid w:val="00B47A17"/>
    <w:rsid w:val="00B52EDB"/>
    <w:rsid w:val="00B56C70"/>
    <w:rsid w:val="00B575A3"/>
    <w:rsid w:val="00B57EE9"/>
    <w:rsid w:val="00B6152D"/>
    <w:rsid w:val="00B61B08"/>
    <w:rsid w:val="00B61FF8"/>
    <w:rsid w:val="00B62812"/>
    <w:rsid w:val="00B632E4"/>
    <w:rsid w:val="00B63B1A"/>
    <w:rsid w:val="00B65EC7"/>
    <w:rsid w:val="00B65F48"/>
    <w:rsid w:val="00B665AA"/>
    <w:rsid w:val="00B71AB5"/>
    <w:rsid w:val="00B71BBA"/>
    <w:rsid w:val="00B7306A"/>
    <w:rsid w:val="00B733BA"/>
    <w:rsid w:val="00B7370F"/>
    <w:rsid w:val="00B7405D"/>
    <w:rsid w:val="00B74913"/>
    <w:rsid w:val="00B74FD3"/>
    <w:rsid w:val="00B75493"/>
    <w:rsid w:val="00B817E9"/>
    <w:rsid w:val="00B821E9"/>
    <w:rsid w:val="00B827BA"/>
    <w:rsid w:val="00B859B0"/>
    <w:rsid w:val="00B87128"/>
    <w:rsid w:val="00B8770C"/>
    <w:rsid w:val="00B8771B"/>
    <w:rsid w:val="00B90D53"/>
    <w:rsid w:val="00B92765"/>
    <w:rsid w:val="00B92B44"/>
    <w:rsid w:val="00B9389F"/>
    <w:rsid w:val="00B93D81"/>
    <w:rsid w:val="00B94F29"/>
    <w:rsid w:val="00B97700"/>
    <w:rsid w:val="00BA0899"/>
    <w:rsid w:val="00BA12C0"/>
    <w:rsid w:val="00BA188F"/>
    <w:rsid w:val="00BA3216"/>
    <w:rsid w:val="00BA45E0"/>
    <w:rsid w:val="00BA5639"/>
    <w:rsid w:val="00BA5DF1"/>
    <w:rsid w:val="00BA6333"/>
    <w:rsid w:val="00BA7A72"/>
    <w:rsid w:val="00BB0B7A"/>
    <w:rsid w:val="00BB228C"/>
    <w:rsid w:val="00BB41AE"/>
    <w:rsid w:val="00BB43D1"/>
    <w:rsid w:val="00BB4DE0"/>
    <w:rsid w:val="00BB4F39"/>
    <w:rsid w:val="00BB5062"/>
    <w:rsid w:val="00BB73D0"/>
    <w:rsid w:val="00BB7485"/>
    <w:rsid w:val="00BC03AE"/>
    <w:rsid w:val="00BC03F1"/>
    <w:rsid w:val="00BC1817"/>
    <w:rsid w:val="00BC34F0"/>
    <w:rsid w:val="00BC47A9"/>
    <w:rsid w:val="00BC6C12"/>
    <w:rsid w:val="00BC725C"/>
    <w:rsid w:val="00BC738D"/>
    <w:rsid w:val="00BC779A"/>
    <w:rsid w:val="00BD203D"/>
    <w:rsid w:val="00BD2A7E"/>
    <w:rsid w:val="00BD3252"/>
    <w:rsid w:val="00BD579E"/>
    <w:rsid w:val="00BE018A"/>
    <w:rsid w:val="00BE384B"/>
    <w:rsid w:val="00BE5F6C"/>
    <w:rsid w:val="00BE6BFB"/>
    <w:rsid w:val="00BF3892"/>
    <w:rsid w:val="00BF49FA"/>
    <w:rsid w:val="00BF6DD3"/>
    <w:rsid w:val="00BF772D"/>
    <w:rsid w:val="00C02828"/>
    <w:rsid w:val="00C063E4"/>
    <w:rsid w:val="00C12203"/>
    <w:rsid w:val="00C12745"/>
    <w:rsid w:val="00C129CE"/>
    <w:rsid w:val="00C1304C"/>
    <w:rsid w:val="00C13CAA"/>
    <w:rsid w:val="00C1412C"/>
    <w:rsid w:val="00C15FEE"/>
    <w:rsid w:val="00C169E1"/>
    <w:rsid w:val="00C20862"/>
    <w:rsid w:val="00C252F7"/>
    <w:rsid w:val="00C268DC"/>
    <w:rsid w:val="00C270B5"/>
    <w:rsid w:val="00C279AA"/>
    <w:rsid w:val="00C27EBA"/>
    <w:rsid w:val="00C310C9"/>
    <w:rsid w:val="00C3339C"/>
    <w:rsid w:val="00C37876"/>
    <w:rsid w:val="00C4019B"/>
    <w:rsid w:val="00C4196E"/>
    <w:rsid w:val="00C41E93"/>
    <w:rsid w:val="00C42167"/>
    <w:rsid w:val="00C43DDC"/>
    <w:rsid w:val="00C44540"/>
    <w:rsid w:val="00C446B9"/>
    <w:rsid w:val="00C44B15"/>
    <w:rsid w:val="00C45E65"/>
    <w:rsid w:val="00C463EC"/>
    <w:rsid w:val="00C477F2"/>
    <w:rsid w:val="00C47F61"/>
    <w:rsid w:val="00C51190"/>
    <w:rsid w:val="00C516D6"/>
    <w:rsid w:val="00C5294D"/>
    <w:rsid w:val="00C52D7C"/>
    <w:rsid w:val="00C54E4D"/>
    <w:rsid w:val="00C554AA"/>
    <w:rsid w:val="00C572E1"/>
    <w:rsid w:val="00C57FC9"/>
    <w:rsid w:val="00C61702"/>
    <w:rsid w:val="00C61C68"/>
    <w:rsid w:val="00C62DA1"/>
    <w:rsid w:val="00C6361B"/>
    <w:rsid w:val="00C646D2"/>
    <w:rsid w:val="00C6473D"/>
    <w:rsid w:val="00C706F7"/>
    <w:rsid w:val="00C70C08"/>
    <w:rsid w:val="00C726F2"/>
    <w:rsid w:val="00C72CF5"/>
    <w:rsid w:val="00C735A6"/>
    <w:rsid w:val="00C736BE"/>
    <w:rsid w:val="00C75AC7"/>
    <w:rsid w:val="00C75DB3"/>
    <w:rsid w:val="00C762A2"/>
    <w:rsid w:val="00C842BB"/>
    <w:rsid w:val="00C8533F"/>
    <w:rsid w:val="00C86A17"/>
    <w:rsid w:val="00C918D6"/>
    <w:rsid w:val="00C939F2"/>
    <w:rsid w:val="00C95104"/>
    <w:rsid w:val="00C962D0"/>
    <w:rsid w:val="00C964F9"/>
    <w:rsid w:val="00C97F42"/>
    <w:rsid w:val="00CA0B79"/>
    <w:rsid w:val="00CA0BDE"/>
    <w:rsid w:val="00CA0CB0"/>
    <w:rsid w:val="00CA1E18"/>
    <w:rsid w:val="00CA327C"/>
    <w:rsid w:val="00CA394A"/>
    <w:rsid w:val="00CA3F8A"/>
    <w:rsid w:val="00CA4003"/>
    <w:rsid w:val="00CA420D"/>
    <w:rsid w:val="00CA4D86"/>
    <w:rsid w:val="00CA588E"/>
    <w:rsid w:val="00CA6105"/>
    <w:rsid w:val="00CA7720"/>
    <w:rsid w:val="00CB0864"/>
    <w:rsid w:val="00CB16ED"/>
    <w:rsid w:val="00CB1DFD"/>
    <w:rsid w:val="00CB20A5"/>
    <w:rsid w:val="00CB2C50"/>
    <w:rsid w:val="00CB31C1"/>
    <w:rsid w:val="00CB33C7"/>
    <w:rsid w:val="00CB62B5"/>
    <w:rsid w:val="00CB7361"/>
    <w:rsid w:val="00CB766A"/>
    <w:rsid w:val="00CC0019"/>
    <w:rsid w:val="00CC11E9"/>
    <w:rsid w:val="00CC1EF9"/>
    <w:rsid w:val="00CC32EB"/>
    <w:rsid w:val="00CC3DDD"/>
    <w:rsid w:val="00CC5AB9"/>
    <w:rsid w:val="00CC5D14"/>
    <w:rsid w:val="00CC5EB5"/>
    <w:rsid w:val="00CC6FC3"/>
    <w:rsid w:val="00CC7176"/>
    <w:rsid w:val="00CC7AAE"/>
    <w:rsid w:val="00CD033B"/>
    <w:rsid w:val="00CD0721"/>
    <w:rsid w:val="00CD0922"/>
    <w:rsid w:val="00CD2F7F"/>
    <w:rsid w:val="00CD44C5"/>
    <w:rsid w:val="00CD48C9"/>
    <w:rsid w:val="00CD4D72"/>
    <w:rsid w:val="00CD5876"/>
    <w:rsid w:val="00CD6764"/>
    <w:rsid w:val="00CE14C5"/>
    <w:rsid w:val="00CE15B9"/>
    <w:rsid w:val="00CE1937"/>
    <w:rsid w:val="00CE1BEC"/>
    <w:rsid w:val="00CE2B3D"/>
    <w:rsid w:val="00CE2E8F"/>
    <w:rsid w:val="00CE412F"/>
    <w:rsid w:val="00CE4397"/>
    <w:rsid w:val="00CE54BC"/>
    <w:rsid w:val="00CE5D17"/>
    <w:rsid w:val="00CE7030"/>
    <w:rsid w:val="00CF0516"/>
    <w:rsid w:val="00CF0DBF"/>
    <w:rsid w:val="00CF4B2D"/>
    <w:rsid w:val="00CF5A36"/>
    <w:rsid w:val="00CF64B0"/>
    <w:rsid w:val="00CF7EB4"/>
    <w:rsid w:val="00D00F8E"/>
    <w:rsid w:val="00D0288A"/>
    <w:rsid w:val="00D03531"/>
    <w:rsid w:val="00D03F36"/>
    <w:rsid w:val="00D04837"/>
    <w:rsid w:val="00D04C8D"/>
    <w:rsid w:val="00D06921"/>
    <w:rsid w:val="00D07799"/>
    <w:rsid w:val="00D07C06"/>
    <w:rsid w:val="00D07F98"/>
    <w:rsid w:val="00D100B4"/>
    <w:rsid w:val="00D11446"/>
    <w:rsid w:val="00D1182B"/>
    <w:rsid w:val="00D11CE9"/>
    <w:rsid w:val="00D12CFF"/>
    <w:rsid w:val="00D177F8"/>
    <w:rsid w:val="00D20194"/>
    <w:rsid w:val="00D20794"/>
    <w:rsid w:val="00D24A43"/>
    <w:rsid w:val="00D26769"/>
    <w:rsid w:val="00D26D37"/>
    <w:rsid w:val="00D26F61"/>
    <w:rsid w:val="00D27E3C"/>
    <w:rsid w:val="00D30478"/>
    <w:rsid w:val="00D3066A"/>
    <w:rsid w:val="00D3323D"/>
    <w:rsid w:val="00D335ED"/>
    <w:rsid w:val="00D34043"/>
    <w:rsid w:val="00D349EA"/>
    <w:rsid w:val="00D35160"/>
    <w:rsid w:val="00D355D7"/>
    <w:rsid w:val="00D357AB"/>
    <w:rsid w:val="00D36206"/>
    <w:rsid w:val="00D3694D"/>
    <w:rsid w:val="00D36A62"/>
    <w:rsid w:val="00D36CC1"/>
    <w:rsid w:val="00D370A5"/>
    <w:rsid w:val="00D37A7B"/>
    <w:rsid w:val="00D424DD"/>
    <w:rsid w:val="00D43220"/>
    <w:rsid w:val="00D436CD"/>
    <w:rsid w:val="00D446F7"/>
    <w:rsid w:val="00D450CB"/>
    <w:rsid w:val="00D50E53"/>
    <w:rsid w:val="00D50FF0"/>
    <w:rsid w:val="00D51727"/>
    <w:rsid w:val="00D527EA"/>
    <w:rsid w:val="00D549B2"/>
    <w:rsid w:val="00D54CEC"/>
    <w:rsid w:val="00D56984"/>
    <w:rsid w:val="00D56DAB"/>
    <w:rsid w:val="00D61CF6"/>
    <w:rsid w:val="00D61FD9"/>
    <w:rsid w:val="00D62F56"/>
    <w:rsid w:val="00D63588"/>
    <w:rsid w:val="00D65CC8"/>
    <w:rsid w:val="00D6744F"/>
    <w:rsid w:val="00D7121D"/>
    <w:rsid w:val="00D71E32"/>
    <w:rsid w:val="00D754A0"/>
    <w:rsid w:val="00D75F78"/>
    <w:rsid w:val="00D762B6"/>
    <w:rsid w:val="00D764DC"/>
    <w:rsid w:val="00D8086C"/>
    <w:rsid w:val="00D81B13"/>
    <w:rsid w:val="00D8225E"/>
    <w:rsid w:val="00D8266B"/>
    <w:rsid w:val="00D82682"/>
    <w:rsid w:val="00D84894"/>
    <w:rsid w:val="00D84FE3"/>
    <w:rsid w:val="00D852F4"/>
    <w:rsid w:val="00D8580A"/>
    <w:rsid w:val="00D86FB0"/>
    <w:rsid w:val="00D87953"/>
    <w:rsid w:val="00D90095"/>
    <w:rsid w:val="00D93290"/>
    <w:rsid w:val="00D96822"/>
    <w:rsid w:val="00D97563"/>
    <w:rsid w:val="00DA0544"/>
    <w:rsid w:val="00DA0829"/>
    <w:rsid w:val="00DA0E83"/>
    <w:rsid w:val="00DA1499"/>
    <w:rsid w:val="00DA1E32"/>
    <w:rsid w:val="00DA1E5F"/>
    <w:rsid w:val="00DA208D"/>
    <w:rsid w:val="00DA30AE"/>
    <w:rsid w:val="00DA31E0"/>
    <w:rsid w:val="00DA3C99"/>
    <w:rsid w:val="00DA41E5"/>
    <w:rsid w:val="00DA5DD2"/>
    <w:rsid w:val="00DA6A63"/>
    <w:rsid w:val="00DA7973"/>
    <w:rsid w:val="00DB02DF"/>
    <w:rsid w:val="00DB2E7E"/>
    <w:rsid w:val="00DB414E"/>
    <w:rsid w:val="00DB46E7"/>
    <w:rsid w:val="00DB4BD9"/>
    <w:rsid w:val="00DB5444"/>
    <w:rsid w:val="00DB611F"/>
    <w:rsid w:val="00DC1511"/>
    <w:rsid w:val="00DC25BD"/>
    <w:rsid w:val="00DC3270"/>
    <w:rsid w:val="00DC4A50"/>
    <w:rsid w:val="00DC4B48"/>
    <w:rsid w:val="00DC5F53"/>
    <w:rsid w:val="00DC708E"/>
    <w:rsid w:val="00DC76A1"/>
    <w:rsid w:val="00DC799F"/>
    <w:rsid w:val="00DC7BF1"/>
    <w:rsid w:val="00DD07E5"/>
    <w:rsid w:val="00DD17E9"/>
    <w:rsid w:val="00DD2C4E"/>
    <w:rsid w:val="00DD4E12"/>
    <w:rsid w:val="00DD5243"/>
    <w:rsid w:val="00DD58E0"/>
    <w:rsid w:val="00DD5A15"/>
    <w:rsid w:val="00DD5DF5"/>
    <w:rsid w:val="00DD67D2"/>
    <w:rsid w:val="00DE04FB"/>
    <w:rsid w:val="00DE0840"/>
    <w:rsid w:val="00DE1681"/>
    <w:rsid w:val="00DE1EA5"/>
    <w:rsid w:val="00DE28B8"/>
    <w:rsid w:val="00DE2DC2"/>
    <w:rsid w:val="00DE467F"/>
    <w:rsid w:val="00DE7EBE"/>
    <w:rsid w:val="00DF0644"/>
    <w:rsid w:val="00DF0DB3"/>
    <w:rsid w:val="00DF1675"/>
    <w:rsid w:val="00DF48BE"/>
    <w:rsid w:val="00DF48C6"/>
    <w:rsid w:val="00DF4E14"/>
    <w:rsid w:val="00DF6615"/>
    <w:rsid w:val="00DF69A8"/>
    <w:rsid w:val="00DF79F4"/>
    <w:rsid w:val="00DF7C48"/>
    <w:rsid w:val="00E010B1"/>
    <w:rsid w:val="00E011C7"/>
    <w:rsid w:val="00E01B52"/>
    <w:rsid w:val="00E02C45"/>
    <w:rsid w:val="00E03D2C"/>
    <w:rsid w:val="00E041EE"/>
    <w:rsid w:val="00E0522B"/>
    <w:rsid w:val="00E05D43"/>
    <w:rsid w:val="00E05E02"/>
    <w:rsid w:val="00E06A4A"/>
    <w:rsid w:val="00E06A84"/>
    <w:rsid w:val="00E07FBD"/>
    <w:rsid w:val="00E11913"/>
    <w:rsid w:val="00E119FB"/>
    <w:rsid w:val="00E11DC6"/>
    <w:rsid w:val="00E11E4B"/>
    <w:rsid w:val="00E12794"/>
    <w:rsid w:val="00E13DC8"/>
    <w:rsid w:val="00E14729"/>
    <w:rsid w:val="00E160F7"/>
    <w:rsid w:val="00E20C1D"/>
    <w:rsid w:val="00E2181A"/>
    <w:rsid w:val="00E2276A"/>
    <w:rsid w:val="00E23E00"/>
    <w:rsid w:val="00E24024"/>
    <w:rsid w:val="00E2445D"/>
    <w:rsid w:val="00E25595"/>
    <w:rsid w:val="00E26243"/>
    <w:rsid w:val="00E301AA"/>
    <w:rsid w:val="00E30607"/>
    <w:rsid w:val="00E30CE4"/>
    <w:rsid w:val="00E31AFE"/>
    <w:rsid w:val="00E330E7"/>
    <w:rsid w:val="00E33250"/>
    <w:rsid w:val="00E33DCB"/>
    <w:rsid w:val="00E3473B"/>
    <w:rsid w:val="00E366E4"/>
    <w:rsid w:val="00E36F9F"/>
    <w:rsid w:val="00E3784E"/>
    <w:rsid w:val="00E409F2"/>
    <w:rsid w:val="00E419B9"/>
    <w:rsid w:val="00E42AEE"/>
    <w:rsid w:val="00E440F9"/>
    <w:rsid w:val="00E448C5"/>
    <w:rsid w:val="00E44A67"/>
    <w:rsid w:val="00E455D4"/>
    <w:rsid w:val="00E460A4"/>
    <w:rsid w:val="00E4778D"/>
    <w:rsid w:val="00E509A5"/>
    <w:rsid w:val="00E52431"/>
    <w:rsid w:val="00E55439"/>
    <w:rsid w:val="00E5598E"/>
    <w:rsid w:val="00E603D0"/>
    <w:rsid w:val="00E60B0A"/>
    <w:rsid w:val="00E60C07"/>
    <w:rsid w:val="00E625EE"/>
    <w:rsid w:val="00E63048"/>
    <w:rsid w:val="00E64294"/>
    <w:rsid w:val="00E66CA1"/>
    <w:rsid w:val="00E70A40"/>
    <w:rsid w:val="00E77785"/>
    <w:rsid w:val="00E77F5E"/>
    <w:rsid w:val="00E80DE3"/>
    <w:rsid w:val="00E81772"/>
    <w:rsid w:val="00E81F75"/>
    <w:rsid w:val="00E837C2"/>
    <w:rsid w:val="00E837E7"/>
    <w:rsid w:val="00E841A4"/>
    <w:rsid w:val="00E84774"/>
    <w:rsid w:val="00E85D9C"/>
    <w:rsid w:val="00E9137B"/>
    <w:rsid w:val="00E919BD"/>
    <w:rsid w:val="00E9299B"/>
    <w:rsid w:val="00E93090"/>
    <w:rsid w:val="00E939BB"/>
    <w:rsid w:val="00E94514"/>
    <w:rsid w:val="00E94FC9"/>
    <w:rsid w:val="00E9780F"/>
    <w:rsid w:val="00EA0446"/>
    <w:rsid w:val="00EA04A8"/>
    <w:rsid w:val="00EA242D"/>
    <w:rsid w:val="00EA2AB6"/>
    <w:rsid w:val="00EA2B47"/>
    <w:rsid w:val="00EA7C39"/>
    <w:rsid w:val="00EB0BAB"/>
    <w:rsid w:val="00EB4156"/>
    <w:rsid w:val="00EB4E1D"/>
    <w:rsid w:val="00EB6D2F"/>
    <w:rsid w:val="00EB7921"/>
    <w:rsid w:val="00EB7DF2"/>
    <w:rsid w:val="00EB7FEE"/>
    <w:rsid w:val="00EC054E"/>
    <w:rsid w:val="00EC12F7"/>
    <w:rsid w:val="00EC1627"/>
    <w:rsid w:val="00EC165E"/>
    <w:rsid w:val="00EC16E1"/>
    <w:rsid w:val="00EC1819"/>
    <w:rsid w:val="00EC3689"/>
    <w:rsid w:val="00EC3887"/>
    <w:rsid w:val="00EC4A51"/>
    <w:rsid w:val="00EC5A76"/>
    <w:rsid w:val="00EC67DA"/>
    <w:rsid w:val="00EC6CCF"/>
    <w:rsid w:val="00EC732B"/>
    <w:rsid w:val="00ED08DF"/>
    <w:rsid w:val="00ED0BE8"/>
    <w:rsid w:val="00ED108A"/>
    <w:rsid w:val="00ED2222"/>
    <w:rsid w:val="00ED494C"/>
    <w:rsid w:val="00ED5F8D"/>
    <w:rsid w:val="00ED6A8A"/>
    <w:rsid w:val="00ED75E7"/>
    <w:rsid w:val="00ED7888"/>
    <w:rsid w:val="00EE05D6"/>
    <w:rsid w:val="00EE1B05"/>
    <w:rsid w:val="00EE2CB0"/>
    <w:rsid w:val="00EE385A"/>
    <w:rsid w:val="00EE480A"/>
    <w:rsid w:val="00EE5027"/>
    <w:rsid w:val="00EE55F0"/>
    <w:rsid w:val="00EE637E"/>
    <w:rsid w:val="00EF15FA"/>
    <w:rsid w:val="00EF18FC"/>
    <w:rsid w:val="00EF3003"/>
    <w:rsid w:val="00EF348D"/>
    <w:rsid w:val="00EF36C9"/>
    <w:rsid w:val="00EF3C75"/>
    <w:rsid w:val="00EF4211"/>
    <w:rsid w:val="00EF4794"/>
    <w:rsid w:val="00EF4E7A"/>
    <w:rsid w:val="00EF4F9C"/>
    <w:rsid w:val="00EF557C"/>
    <w:rsid w:val="00EF5EE7"/>
    <w:rsid w:val="00EF6B8F"/>
    <w:rsid w:val="00F00144"/>
    <w:rsid w:val="00F018D9"/>
    <w:rsid w:val="00F01AE2"/>
    <w:rsid w:val="00F0558D"/>
    <w:rsid w:val="00F06D83"/>
    <w:rsid w:val="00F06FF8"/>
    <w:rsid w:val="00F07040"/>
    <w:rsid w:val="00F11030"/>
    <w:rsid w:val="00F14338"/>
    <w:rsid w:val="00F144A7"/>
    <w:rsid w:val="00F1788E"/>
    <w:rsid w:val="00F21638"/>
    <w:rsid w:val="00F22723"/>
    <w:rsid w:val="00F23529"/>
    <w:rsid w:val="00F23EF2"/>
    <w:rsid w:val="00F25C90"/>
    <w:rsid w:val="00F25DD8"/>
    <w:rsid w:val="00F25E85"/>
    <w:rsid w:val="00F26047"/>
    <w:rsid w:val="00F2691E"/>
    <w:rsid w:val="00F2713A"/>
    <w:rsid w:val="00F27BD8"/>
    <w:rsid w:val="00F30D73"/>
    <w:rsid w:val="00F31FA5"/>
    <w:rsid w:val="00F32BF3"/>
    <w:rsid w:val="00F346D2"/>
    <w:rsid w:val="00F35763"/>
    <w:rsid w:val="00F370BC"/>
    <w:rsid w:val="00F40A7E"/>
    <w:rsid w:val="00F41292"/>
    <w:rsid w:val="00F43297"/>
    <w:rsid w:val="00F45B17"/>
    <w:rsid w:val="00F4698A"/>
    <w:rsid w:val="00F47777"/>
    <w:rsid w:val="00F479D8"/>
    <w:rsid w:val="00F53551"/>
    <w:rsid w:val="00F549AE"/>
    <w:rsid w:val="00F60740"/>
    <w:rsid w:val="00F6117D"/>
    <w:rsid w:val="00F611A3"/>
    <w:rsid w:val="00F61365"/>
    <w:rsid w:val="00F61BA1"/>
    <w:rsid w:val="00F623B9"/>
    <w:rsid w:val="00F63797"/>
    <w:rsid w:val="00F63A24"/>
    <w:rsid w:val="00F63CF2"/>
    <w:rsid w:val="00F642F8"/>
    <w:rsid w:val="00F66C8B"/>
    <w:rsid w:val="00F67367"/>
    <w:rsid w:val="00F676DF"/>
    <w:rsid w:val="00F703CD"/>
    <w:rsid w:val="00F70AA7"/>
    <w:rsid w:val="00F72A02"/>
    <w:rsid w:val="00F734C8"/>
    <w:rsid w:val="00F73E10"/>
    <w:rsid w:val="00F7593C"/>
    <w:rsid w:val="00F76A02"/>
    <w:rsid w:val="00F77044"/>
    <w:rsid w:val="00F77754"/>
    <w:rsid w:val="00F778E7"/>
    <w:rsid w:val="00F77909"/>
    <w:rsid w:val="00F8214D"/>
    <w:rsid w:val="00F82764"/>
    <w:rsid w:val="00F828C0"/>
    <w:rsid w:val="00F8549E"/>
    <w:rsid w:val="00F85642"/>
    <w:rsid w:val="00F90223"/>
    <w:rsid w:val="00F9160A"/>
    <w:rsid w:val="00F9290F"/>
    <w:rsid w:val="00F93AC1"/>
    <w:rsid w:val="00F95CC1"/>
    <w:rsid w:val="00F96C8C"/>
    <w:rsid w:val="00F970BF"/>
    <w:rsid w:val="00FA2A3C"/>
    <w:rsid w:val="00FA2ACD"/>
    <w:rsid w:val="00FA443F"/>
    <w:rsid w:val="00FA4BAA"/>
    <w:rsid w:val="00FA5E6C"/>
    <w:rsid w:val="00FB17D6"/>
    <w:rsid w:val="00FB1E55"/>
    <w:rsid w:val="00FB27B3"/>
    <w:rsid w:val="00FB2CCD"/>
    <w:rsid w:val="00FB33A7"/>
    <w:rsid w:val="00FB5AB6"/>
    <w:rsid w:val="00FB6D3A"/>
    <w:rsid w:val="00FC050F"/>
    <w:rsid w:val="00FC5358"/>
    <w:rsid w:val="00FD04A8"/>
    <w:rsid w:val="00FD199F"/>
    <w:rsid w:val="00FD2024"/>
    <w:rsid w:val="00FD2326"/>
    <w:rsid w:val="00FD46AD"/>
    <w:rsid w:val="00FD46F1"/>
    <w:rsid w:val="00FD758D"/>
    <w:rsid w:val="00FD7E2C"/>
    <w:rsid w:val="00FE18F5"/>
    <w:rsid w:val="00FE1DEF"/>
    <w:rsid w:val="00FE2782"/>
    <w:rsid w:val="00FE2BFB"/>
    <w:rsid w:val="00FE4BFA"/>
    <w:rsid w:val="00FE5066"/>
    <w:rsid w:val="00FE5516"/>
    <w:rsid w:val="00FE5DEA"/>
    <w:rsid w:val="00FE7EED"/>
    <w:rsid w:val="00FF0E88"/>
    <w:rsid w:val="00FF21B0"/>
    <w:rsid w:val="00FF32C2"/>
    <w:rsid w:val="00FF41E3"/>
    <w:rsid w:val="00FF5463"/>
    <w:rsid w:val="00FF5600"/>
    <w:rsid w:val="00FF6B83"/>
    <w:rsid w:val="00FF7040"/>
    <w:rsid w:val="00FF7F58"/>
    <w:rsid w:val="00FF7F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A345F"/>
  <w15:docId w15:val="{C5DC25BF-E755-45A9-A7CA-846FF9F1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Rubrik1">
    <w:name w:val="heading 1"/>
    <w:aliases w:val="Table_G"/>
    <w:basedOn w:val="SingleTxtG"/>
    <w:next w:val="SingleTxtG"/>
    <w:link w:val="Rubrik1Char"/>
    <w:qFormat/>
    <w:pPr>
      <w:keepNext/>
      <w:keepLines/>
      <w:spacing w:after="0" w:line="240" w:lineRule="auto"/>
      <w:ind w:right="0"/>
      <w:jc w:val="left"/>
      <w:outlineLvl w:val="0"/>
    </w:pPr>
  </w:style>
  <w:style w:type="paragraph" w:styleId="Rubrik2">
    <w:name w:val="heading 2"/>
    <w:basedOn w:val="Normal"/>
    <w:next w:val="Normal"/>
    <w:link w:val="Rubrik2Char"/>
    <w:qFormat/>
    <w:pPr>
      <w:kinsoku w:val="0"/>
      <w:overflowPunct w:val="0"/>
      <w:autoSpaceDE w:val="0"/>
      <w:autoSpaceDN w:val="0"/>
      <w:adjustRightInd w:val="0"/>
      <w:snapToGrid w:val="0"/>
      <w:outlineLvl w:val="1"/>
    </w:pPr>
    <w:rPr>
      <w:rFonts w:eastAsiaTheme="minorHAnsi"/>
      <w:lang w:val="fr-CH"/>
    </w:rPr>
  </w:style>
  <w:style w:type="paragraph" w:styleId="Rubrik3">
    <w:name w:val="heading 3"/>
    <w:basedOn w:val="Normal"/>
    <w:next w:val="Normal"/>
    <w:link w:val="Rubrik3Char"/>
    <w:qFormat/>
    <w:pPr>
      <w:kinsoku w:val="0"/>
      <w:overflowPunct w:val="0"/>
      <w:autoSpaceDE w:val="0"/>
      <w:autoSpaceDN w:val="0"/>
      <w:adjustRightInd w:val="0"/>
      <w:snapToGrid w:val="0"/>
      <w:outlineLvl w:val="2"/>
    </w:pPr>
    <w:rPr>
      <w:rFonts w:eastAsiaTheme="minorHAnsi"/>
      <w:lang w:val="fr-CH"/>
    </w:rPr>
  </w:style>
  <w:style w:type="paragraph" w:styleId="Rubrik4">
    <w:name w:val="heading 4"/>
    <w:basedOn w:val="Normal"/>
    <w:next w:val="Normal"/>
    <w:link w:val="Rubrik4Char"/>
    <w:qFormat/>
    <w:pPr>
      <w:kinsoku w:val="0"/>
      <w:overflowPunct w:val="0"/>
      <w:autoSpaceDE w:val="0"/>
      <w:autoSpaceDN w:val="0"/>
      <w:adjustRightInd w:val="0"/>
      <w:snapToGrid w:val="0"/>
      <w:outlineLvl w:val="3"/>
    </w:pPr>
    <w:rPr>
      <w:rFonts w:eastAsiaTheme="minorHAnsi"/>
      <w:lang w:val="fr-CH"/>
    </w:rPr>
  </w:style>
  <w:style w:type="paragraph" w:styleId="Rubrik5">
    <w:name w:val="heading 5"/>
    <w:basedOn w:val="Normal"/>
    <w:next w:val="Normal"/>
    <w:link w:val="Rubrik5Char"/>
    <w:qFormat/>
    <w:pPr>
      <w:kinsoku w:val="0"/>
      <w:overflowPunct w:val="0"/>
      <w:autoSpaceDE w:val="0"/>
      <w:autoSpaceDN w:val="0"/>
      <w:adjustRightInd w:val="0"/>
      <w:snapToGrid w:val="0"/>
      <w:outlineLvl w:val="4"/>
    </w:pPr>
    <w:rPr>
      <w:rFonts w:eastAsiaTheme="minorHAnsi"/>
      <w:lang w:val="fr-CH"/>
    </w:rPr>
  </w:style>
  <w:style w:type="paragraph" w:styleId="Rubrik6">
    <w:name w:val="heading 6"/>
    <w:basedOn w:val="Normal"/>
    <w:next w:val="Normal"/>
    <w:link w:val="Rubrik6Char"/>
    <w:qFormat/>
    <w:pPr>
      <w:kinsoku w:val="0"/>
      <w:overflowPunct w:val="0"/>
      <w:autoSpaceDE w:val="0"/>
      <w:autoSpaceDN w:val="0"/>
      <w:adjustRightInd w:val="0"/>
      <w:snapToGrid w:val="0"/>
      <w:outlineLvl w:val="5"/>
    </w:pPr>
    <w:rPr>
      <w:rFonts w:eastAsiaTheme="minorHAnsi"/>
      <w:lang w:val="fr-CH"/>
    </w:rPr>
  </w:style>
  <w:style w:type="paragraph" w:styleId="Rubrik7">
    <w:name w:val="heading 7"/>
    <w:basedOn w:val="Normal"/>
    <w:next w:val="Normal"/>
    <w:link w:val="Rubrik7Char"/>
    <w:qFormat/>
    <w:pPr>
      <w:kinsoku w:val="0"/>
      <w:overflowPunct w:val="0"/>
      <w:autoSpaceDE w:val="0"/>
      <w:autoSpaceDN w:val="0"/>
      <w:adjustRightInd w:val="0"/>
      <w:snapToGrid w:val="0"/>
      <w:outlineLvl w:val="6"/>
    </w:pPr>
    <w:rPr>
      <w:rFonts w:eastAsiaTheme="minorHAnsi"/>
      <w:lang w:val="fr-CH"/>
    </w:rPr>
  </w:style>
  <w:style w:type="paragraph" w:styleId="Rubrik8">
    <w:name w:val="heading 8"/>
    <w:basedOn w:val="Normal"/>
    <w:next w:val="Normal"/>
    <w:link w:val="Rubrik8Char"/>
    <w:qFormat/>
    <w:pPr>
      <w:kinsoku w:val="0"/>
      <w:overflowPunct w:val="0"/>
      <w:autoSpaceDE w:val="0"/>
      <w:autoSpaceDN w:val="0"/>
      <w:adjustRightInd w:val="0"/>
      <w:snapToGrid w:val="0"/>
      <w:outlineLvl w:val="7"/>
    </w:pPr>
    <w:rPr>
      <w:rFonts w:eastAsiaTheme="minorHAnsi"/>
      <w:lang w:val="fr-CH"/>
    </w:rPr>
  </w:style>
  <w:style w:type="paragraph" w:styleId="Rubrik9">
    <w:name w:val="heading 9"/>
    <w:basedOn w:val="Normal"/>
    <w:next w:val="Normal"/>
    <w:link w:val="Rubrik9Char"/>
    <w:qFormat/>
    <w:pPr>
      <w:kinsoku w:val="0"/>
      <w:overflowPunct w:val="0"/>
      <w:autoSpaceDE w:val="0"/>
      <w:autoSpaceDN w:val="0"/>
      <w:adjustRightInd w:val="0"/>
      <w:snapToGrid w:val="0"/>
      <w:outlineLvl w:val="8"/>
    </w:pPr>
    <w:rPr>
      <w:rFonts w:eastAsiaTheme="minorHAnsi"/>
      <w:lang w:val="fr-CH"/>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6_G"/>
    <w:basedOn w:val="Normal"/>
    <w:link w:val="SidhuvudChar"/>
    <w:qFormat/>
    <w:pPr>
      <w:pBdr>
        <w:bottom w:val="single" w:sz="4" w:space="4" w:color="auto"/>
      </w:pBdr>
      <w:suppressAutoHyphens w:val="0"/>
      <w:spacing w:line="240" w:lineRule="auto"/>
    </w:pPr>
    <w:rPr>
      <w:rFonts w:eastAsiaTheme="minorHAnsi"/>
      <w:b/>
      <w:sz w:val="18"/>
    </w:rPr>
  </w:style>
  <w:style w:type="character" w:customStyle="1" w:styleId="SidhuvudChar">
    <w:name w:val="Sidhuvud Char"/>
    <w:aliases w:val="6_G Char"/>
    <w:basedOn w:val="Standardstycketeckensnitt"/>
    <w:link w:val="Sidhuvud"/>
    <w:rPr>
      <w:rFonts w:ascii="Times New Roman" w:hAnsi="Times New Roman" w:cs="Times New Roman"/>
      <w:b/>
      <w:sz w:val="18"/>
      <w:szCs w:val="20"/>
      <w:lang w:val="en-GB"/>
    </w:rPr>
  </w:style>
  <w:style w:type="paragraph" w:styleId="Sidfot">
    <w:name w:val="footer"/>
    <w:aliases w:val="3_G"/>
    <w:basedOn w:val="Normal"/>
    <w:link w:val="SidfotChar"/>
    <w:pPr>
      <w:suppressAutoHyphens w:val="0"/>
      <w:spacing w:line="240" w:lineRule="auto"/>
    </w:pPr>
    <w:rPr>
      <w:rFonts w:eastAsiaTheme="minorHAnsi"/>
      <w:sz w:val="16"/>
    </w:rPr>
  </w:style>
  <w:style w:type="character" w:customStyle="1" w:styleId="SidfotChar">
    <w:name w:val="Sidfot Char"/>
    <w:aliases w:val="3_G Char"/>
    <w:basedOn w:val="Standardstycketeckensnitt"/>
    <w:link w:val="Sidfot"/>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tnotsreferens">
    <w:name w:val="footnote reference"/>
    <w:aliases w:val="4_G,Texto de nota al pie,Appel note de bas de page,Fn Ref,Odwołanie przypisu,Footnote symbol,Footnote Reference Number,Footnote Reference Superscript,Footnote Reference/,richiamo note eggsi,Rimando nota a piè di pagina1,BVI fnr,10 pt"/>
    <w:basedOn w:val="Standardstycketeckensnitt"/>
    <w:link w:val="FootnoteReferneceCharChar1Char"/>
    <w:qFormat/>
    <w:rPr>
      <w:rFonts w:ascii="Times New Roman" w:hAnsi="Times New Roman"/>
      <w:sz w:val="18"/>
      <w:vertAlign w:val="superscript"/>
      <w:lang w:val="en-GB"/>
    </w:rPr>
  </w:style>
  <w:style w:type="character" w:styleId="Slutnotsreferens">
    <w:name w:val="endnote reference"/>
    <w:aliases w:val="1_G"/>
    <w:basedOn w:val="Fotnotsreferens"/>
    <w:qFormat/>
    <w:rPr>
      <w:rFonts w:ascii="Times New Roman" w:hAnsi="Times New Roman"/>
      <w:sz w:val="18"/>
      <w:vertAlign w:val="superscript"/>
      <w:lang w:val="en-GB"/>
    </w:rPr>
  </w:style>
  <w:style w:type="table" w:styleId="Tabellrutnt">
    <w:name w:val="Table Grid"/>
    <w:basedOn w:val="Normaltabel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nk">
    <w:name w:val="Hyperlink"/>
    <w:basedOn w:val="Standardstycketeckensnitt"/>
    <w:rPr>
      <w:color w:val="0000FF"/>
      <w:u w:val="none"/>
    </w:rPr>
  </w:style>
  <w:style w:type="character" w:styleId="AnvndHyperlnk">
    <w:name w:val="FollowedHyperlink"/>
    <w:basedOn w:val="Standardstycketeckensnitt"/>
    <w:semiHidden/>
    <w:rPr>
      <w:color w:val="0000FF"/>
      <w:u w:val="none"/>
    </w:rPr>
  </w:style>
  <w:style w:type="paragraph" w:styleId="Fotnotstext">
    <w:name w:val="footnote text"/>
    <w:aliases w:val="5_G,Footnote Text Char Char Char Char Char,Footnote Text Char Char Char Char,Footnote reference,FA Fu,Footnote Text Char Char Char,Tekst przypisu,Schriftart: 9 pt,Schriftart: 10 pt,Schriftart: 8 pt,WB-Fußnotentext,Footnote,Fußnote,o,f,ft"/>
    <w:basedOn w:val="Normal"/>
    <w:link w:val="Fotnots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tnotstextChar">
    <w:name w:val="Fotnotstext Char"/>
    <w:aliases w:val="5_G Char,Footnote Text Char Char Char Char Char Char,Footnote Text Char Char Char Char Char1,Footnote reference Char,FA Fu Char,Footnote Text Char Char Char Char1,Tekst przypisu Char,Schriftart: 9 pt Char,Schriftart: 10 pt Char,o Char"/>
    <w:basedOn w:val="Standardstycketeckensnitt"/>
    <w:link w:val="Fotnotstext"/>
    <w:qFormat/>
    <w:rPr>
      <w:rFonts w:ascii="Times New Roman" w:hAnsi="Times New Roman" w:cs="Times New Roman"/>
      <w:sz w:val="18"/>
      <w:szCs w:val="20"/>
      <w:lang w:val="en-GB"/>
    </w:rPr>
  </w:style>
  <w:style w:type="paragraph" w:styleId="Slutnotstext">
    <w:name w:val="endnote text"/>
    <w:aliases w:val="2_G"/>
    <w:basedOn w:val="Fotnotstext"/>
    <w:link w:val="SlutnotstextChar"/>
    <w:qFormat/>
  </w:style>
  <w:style w:type="character" w:customStyle="1" w:styleId="SlutnotstextChar">
    <w:name w:val="Slutnotstext Char"/>
    <w:aliases w:val="2_G Char"/>
    <w:basedOn w:val="Standardstycketeckensnitt"/>
    <w:link w:val="Slutnotstext"/>
    <w:rPr>
      <w:rFonts w:ascii="Times New Roman" w:hAnsi="Times New Roman" w:cs="Times New Roman"/>
      <w:sz w:val="18"/>
      <w:szCs w:val="20"/>
      <w:lang w:val="en-GB"/>
    </w:rPr>
  </w:style>
  <w:style w:type="character" w:styleId="Sidnummer">
    <w:name w:val="page number"/>
    <w:aliases w:val="7_G"/>
    <w:basedOn w:val="Standardstycketeckensnitt"/>
    <w:qFormat/>
    <w:rPr>
      <w:rFonts w:ascii="Times New Roman" w:hAnsi="Times New Roman"/>
      <w:b/>
      <w:sz w:val="18"/>
      <w:lang w:val="en-GB"/>
    </w:rPr>
  </w:style>
  <w:style w:type="character" w:customStyle="1" w:styleId="Rubrik1Char">
    <w:name w:val="Rubrik 1 Char"/>
    <w:aliases w:val="Table_G Char"/>
    <w:basedOn w:val="Standardstycketeckensnitt"/>
    <w:link w:val="Rubrik1"/>
    <w:rPr>
      <w:rFonts w:ascii="Times New Roman" w:hAnsi="Times New Roman" w:cs="Times New Roman"/>
      <w:sz w:val="20"/>
      <w:szCs w:val="20"/>
    </w:rPr>
  </w:style>
  <w:style w:type="character" w:customStyle="1" w:styleId="Rubrik2Char">
    <w:name w:val="Rubrik 2 Char"/>
    <w:basedOn w:val="Standardstycketeckensnitt"/>
    <w:link w:val="Rubrik2"/>
    <w:semiHidden/>
    <w:rPr>
      <w:rFonts w:ascii="Times New Roman" w:hAnsi="Times New Roman" w:cs="Times New Roman"/>
      <w:sz w:val="20"/>
      <w:szCs w:val="20"/>
    </w:rPr>
  </w:style>
  <w:style w:type="character" w:customStyle="1" w:styleId="Rubrik3Char">
    <w:name w:val="Rubrik 3 Char"/>
    <w:basedOn w:val="Standardstycketeckensnitt"/>
    <w:link w:val="Rubrik3"/>
    <w:rPr>
      <w:rFonts w:ascii="Times New Roman" w:hAnsi="Times New Roman" w:cs="Times New Roman"/>
      <w:sz w:val="20"/>
      <w:szCs w:val="20"/>
    </w:rPr>
  </w:style>
  <w:style w:type="character" w:customStyle="1" w:styleId="Rubrik4Char">
    <w:name w:val="Rubrik 4 Char"/>
    <w:basedOn w:val="Standardstycketeckensnitt"/>
    <w:link w:val="Rubrik4"/>
    <w:semiHidden/>
    <w:rPr>
      <w:rFonts w:ascii="Times New Roman" w:hAnsi="Times New Roman" w:cs="Times New Roman"/>
      <w:sz w:val="20"/>
      <w:szCs w:val="20"/>
    </w:rPr>
  </w:style>
  <w:style w:type="character" w:customStyle="1" w:styleId="Rubrik5Char">
    <w:name w:val="Rubrik 5 Char"/>
    <w:basedOn w:val="Standardstycketeckensnitt"/>
    <w:link w:val="Rubrik5"/>
    <w:semiHidden/>
    <w:rPr>
      <w:rFonts w:ascii="Times New Roman" w:hAnsi="Times New Roman" w:cs="Times New Roman"/>
      <w:sz w:val="20"/>
      <w:szCs w:val="20"/>
    </w:rPr>
  </w:style>
  <w:style w:type="character" w:customStyle="1" w:styleId="Rubrik6Char">
    <w:name w:val="Rubrik 6 Char"/>
    <w:basedOn w:val="Standardstycketeckensnitt"/>
    <w:link w:val="Rubrik6"/>
    <w:semiHidden/>
    <w:rPr>
      <w:rFonts w:ascii="Times New Roman" w:hAnsi="Times New Roman" w:cs="Times New Roman"/>
      <w:sz w:val="20"/>
      <w:szCs w:val="20"/>
    </w:rPr>
  </w:style>
  <w:style w:type="character" w:customStyle="1" w:styleId="Rubrik7Char">
    <w:name w:val="Rubrik 7 Char"/>
    <w:basedOn w:val="Standardstycketeckensnitt"/>
    <w:link w:val="Rubrik7"/>
    <w:semiHidden/>
    <w:rPr>
      <w:rFonts w:ascii="Times New Roman" w:hAnsi="Times New Roman" w:cs="Times New Roman"/>
      <w:sz w:val="20"/>
      <w:szCs w:val="20"/>
    </w:rPr>
  </w:style>
  <w:style w:type="character" w:customStyle="1" w:styleId="Rubrik8Char">
    <w:name w:val="Rubrik 8 Char"/>
    <w:basedOn w:val="Standardstycketeckensnitt"/>
    <w:link w:val="Rubrik8"/>
    <w:semiHidden/>
    <w:rPr>
      <w:rFonts w:ascii="Times New Roman" w:hAnsi="Times New Roman" w:cs="Times New Roman"/>
      <w:sz w:val="20"/>
      <w:szCs w:val="20"/>
    </w:rPr>
  </w:style>
  <w:style w:type="character" w:customStyle="1" w:styleId="Rubrik9Char">
    <w:name w:val="Rubrik 9 Char"/>
    <w:basedOn w:val="Standardstycketeckensnitt"/>
    <w:link w:val="Rubrik9"/>
    <w:semiHidden/>
    <w:rPr>
      <w:rFonts w:ascii="Times New Roman" w:hAnsi="Times New Roman" w:cs="Times New Roman"/>
      <w:sz w:val="20"/>
      <w:szCs w:val="20"/>
    </w:rPr>
  </w:style>
  <w:style w:type="paragraph" w:styleId="Ballongtext">
    <w:name w:val="Balloon Text"/>
    <w:basedOn w:val="Normal"/>
    <w:link w:val="BallongtextChar"/>
    <w:uiPriority w:val="99"/>
    <w:unhideWhenUse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Pr>
      <w:rFonts w:ascii="Tahoma" w:eastAsia="Times New Roman" w:hAnsi="Tahoma" w:cs="Tahoma"/>
      <w:sz w:val="16"/>
      <w:szCs w:val="16"/>
      <w:lang w:val="en-GB"/>
    </w:rPr>
  </w:style>
  <w:style w:type="numbering" w:styleId="111111">
    <w:name w:val="Outline List 2"/>
    <w:basedOn w:val="Ingenlista"/>
    <w:semiHidden/>
    <w:pPr>
      <w:numPr>
        <w:numId w:val="1"/>
      </w:numPr>
    </w:pPr>
  </w:style>
  <w:style w:type="numbering" w:styleId="1ai">
    <w:name w:val="Outline List 1"/>
    <w:basedOn w:val="Ingenlista"/>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Normaltabel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CA0B79"/>
    <w:rPr>
      <w:rFonts w:ascii="Times New Roman" w:hAnsi="Times New Roman" w:cs="Times New Roman"/>
      <w:b/>
      <w:sz w:val="20"/>
      <w:szCs w:val="20"/>
      <w:lang w:val="en-GB"/>
    </w:rPr>
  </w:style>
  <w:style w:type="character" w:customStyle="1" w:styleId="H1GChar">
    <w:name w:val="_ H_1_G Char"/>
    <w:link w:val="H1G"/>
    <w:locked/>
    <w:rsid w:val="00CA0B79"/>
    <w:rPr>
      <w:rFonts w:ascii="Times New Roman" w:hAnsi="Times New Roman" w:cs="Times New Roman"/>
      <w:b/>
      <w:sz w:val="24"/>
      <w:szCs w:val="20"/>
      <w:lang w:val="en-GB"/>
    </w:rPr>
  </w:style>
  <w:style w:type="character" w:styleId="Kommentarsreferens">
    <w:name w:val="annotation reference"/>
    <w:uiPriority w:val="99"/>
    <w:semiHidden/>
    <w:rsid w:val="00CA0B79"/>
    <w:rPr>
      <w:sz w:val="16"/>
      <w:szCs w:val="16"/>
    </w:rPr>
  </w:style>
  <w:style w:type="paragraph" w:styleId="Kommentarer">
    <w:name w:val="annotation text"/>
    <w:basedOn w:val="Normal"/>
    <w:link w:val="KommentarerChar"/>
    <w:uiPriority w:val="99"/>
    <w:semiHidden/>
    <w:rsid w:val="00CA0B79"/>
  </w:style>
  <w:style w:type="character" w:customStyle="1" w:styleId="KommentarerChar">
    <w:name w:val="Kommentarer Char"/>
    <w:basedOn w:val="Standardstycketeckensnitt"/>
    <w:link w:val="Kommentarer"/>
    <w:uiPriority w:val="99"/>
    <w:semiHidden/>
    <w:rsid w:val="00CA0B79"/>
    <w:rPr>
      <w:rFonts w:ascii="Times New Roman" w:eastAsia="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rsid w:val="00CA0B79"/>
    <w:rPr>
      <w:b/>
      <w:bCs/>
    </w:rPr>
  </w:style>
  <w:style w:type="character" w:customStyle="1" w:styleId="KommentarsmneChar">
    <w:name w:val="Kommentarsämne Char"/>
    <w:basedOn w:val="KommentarerChar"/>
    <w:link w:val="Kommentarsmne"/>
    <w:uiPriority w:val="99"/>
    <w:semiHidden/>
    <w:rsid w:val="00CA0B79"/>
    <w:rPr>
      <w:rFonts w:ascii="Times New Roman" w:eastAsia="Times New Roman" w:hAnsi="Times New Roman" w:cs="Times New Roman"/>
      <w:b/>
      <w:bCs/>
      <w:sz w:val="20"/>
      <w:szCs w:val="20"/>
      <w:lang w:val="en-GB"/>
    </w:rPr>
  </w:style>
  <w:style w:type="paragraph" w:styleId="Liststycke">
    <w:name w:val="List Paragraph"/>
    <w:basedOn w:val="Normal"/>
    <w:uiPriority w:val="34"/>
    <w:qFormat/>
    <w:rsid w:val="00CA0B79"/>
    <w:pPr>
      <w:suppressAutoHyphens w:val="0"/>
      <w:spacing w:line="276" w:lineRule="auto"/>
      <w:ind w:left="720"/>
      <w:contextualSpacing/>
    </w:pPr>
    <w:rPr>
      <w:rFonts w:ascii="Arial" w:eastAsia="Arial" w:hAnsi="Arial" w:cs="Arial"/>
      <w:sz w:val="22"/>
      <w:szCs w:val="22"/>
      <w:lang w:val="es" w:eastAsia="es-ES"/>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Fotnotsreferens"/>
    <w:rsid w:val="00CA0B79"/>
    <w:pPr>
      <w:suppressAutoHyphens w:val="0"/>
      <w:spacing w:line="240" w:lineRule="auto"/>
      <w:jc w:val="both"/>
    </w:pPr>
    <w:rPr>
      <w:rFonts w:eastAsiaTheme="minorHAnsi" w:cstheme="minorBidi"/>
      <w:sz w:val="18"/>
      <w:szCs w:val="22"/>
      <w:vertAlign w:val="superscript"/>
    </w:rPr>
  </w:style>
  <w:style w:type="paragraph" w:customStyle="1" w:styleId="Default">
    <w:name w:val="Default"/>
    <w:rsid w:val="00CA0B7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1">
    <w:name w:val="Normal1"/>
    <w:rsid w:val="00CA0B79"/>
    <w:pPr>
      <w:spacing w:after="0"/>
    </w:pPr>
    <w:rPr>
      <w:rFonts w:ascii="Arial" w:eastAsia="Arial" w:hAnsi="Arial" w:cs="Arial"/>
      <w:lang w:val="lt-LT" w:eastAsia="hu-HU"/>
    </w:rPr>
  </w:style>
  <w:style w:type="paragraph" w:customStyle="1" w:styleId="Norml1">
    <w:name w:val="Normál1"/>
    <w:rsid w:val="00CA0B79"/>
    <w:pPr>
      <w:widowControl w:val="0"/>
      <w:spacing w:after="0"/>
    </w:pPr>
    <w:rPr>
      <w:rFonts w:ascii="Arial" w:eastAsia="Arial" w:hAnsi="Arial" w:cs="Arial"/>
      <w:color w:val="000000"/>
      <w:lang w:val="hu-HU" w:eastAsia="hu-HU"/>
    </w:rPr>
  </w:style>
  <w:style w:type="paragraph" w:styleId="Normalwebb">
    <w:name w:val="Normal (Web)"/>
    <w:basedOn w:val="Normal"/>
    <w:uiPriority w:val="99"/>
    <w:unhideWhenUsed/>
    <w:rsid w:val="00CA0B79"/>
    <w:pPr>
      <w:suppressAutoHyphens w:val="0"/>
      <w:spacing w:before="100" w:beforeAutospacing="1" w:after="100" w:afterAutospacing="1" w:line="240" w:lineRule="auto"/>
    </w:pPr>
    <w:rPr>
      <w:sz w:val="24"/>
      <w:szCs w:val="24"/>
      <w:lang w:val="et-EE" w:eastAsia="et-EE"/>
    </w:rPr>
  </w:style>
  <w:style w:type="character" w:customStyle="1" w:styleId="fontstyle01">
    <w:name w:val="fontstyle01"/>
    <w:basedOn w:val="Standardstycketeckensnitt"/>
    <w:rsid w:val="00CA0B79"/>
    <w:rPr>
      <w:rFonts w:ascii="TimesNewRomanPSMT" w:hAnsi="TimesNewRomanPSMT" w:hint="default"/>
      <w:b w:val="0"/>
      <w:bCs w:val="0"/>
      <w:i w:val="0"/>
      <w:iCs w:val="0"/>
      <w:color w:val="000000"/>
      <w:sz w:val="24"/>
      <w:szCs w:val="24"/>
    </w:rPr>
  </w:style>
  <w:style w:type="paragraph" w:customStyle="1" w:styleId="FootnoteReferneceCarcter">
    <w:name w:val="Footnote Refernece Carácter"/>
    <w:aliases w:val="ftref Carácter,4_G Carácter"/>
    <w:basedOn w:val="Normal"/>
    <w:uiPriority w:val="99"/>
    <w:rsid w:val="00CA0B79"/>
    <w:pPr>
      <w:suppressAutoHyphens w:val="0"/>
      <w:spacing w:before="120" w:after="160" w:line="240" w:lineRule="exact"/>
      <w:jc w:val="both"/>
    </w:pPr>
    <w:rPr>
      <w:rFonts w:eastAsiaTheme="minorHAnsi" w:cstheme="minorBidi"/>
      <w:sz w:val="18"/>
      <w:szCs w:val="22"/>
      <w:vertAlign w:val="superscript"/>
      <w:lang w:val="et-EE"/>
    </w:rPr>
  </w:style>
  <w:style w:type="character" w:styleId="Betoning">
    <w:name w:val="Emphasis"/>
    <w:basedOn w:val="Standardstycketeckensnitt"/>
    <w:uiPriority w:val="20"/>
    <w:qFormat/>
    <w:rsid w:val="009D6A3B"/>
    <w:rPr>
      <w:i/>
      <w:iCs/>
    </w:rPr>
  </w:style>
  <w:style w:type="paragraph" w:styleId="Revision">
    <w:name w:val="Revision"/>
    <w:hidden/>
    <w:uiPriority w:val="99"/>
    <w:semiHidden/>
    <w:rsid w:val="00001F66"/>
    <w:pPr>
      <w:spacing w:after="0" w:line="240" w:lineRule="auto"/>
    </w:pPr>
    <w:rPr>
      <w:rFonts w:ascii="Times New Roman" w:eastAsia="Times New Roman" w:hAnsi="Times New Roman" w:cs="Times New Roman"/>
      <w:sz w:val="20"/>
      <w:szCs w:val="20"/>
      <w:lang w:val="en-GB"/>
    </w:rPr>
  </w:style>
  <w:style w:type="paragraph" w:styleId="Brdtext">
    <w:name w:val="Body Text"/>
    <w:basedOn w:val="Normal"/>
    <w:link w:val="BrdtextChar"/>
    <w:uiPriority w:val="1"/>
    <w:semiHidden/>
    <w:unhideWhenUsed/>
    <w:qFormat/>
    <w:rsid w:val="009F4CD1"/>
    <w:pPr>
      <w:widowControl w:val="0"/>
      <w:suppressAutoHyphens w:val="0"/>
      <w:autoSpaceDE w:val="0"/>
      <w:autoSpaceDN w:val="0"/>
      <w:adjustRightInd w:val="0"/>
      <w:spacing w:line="240" w:lineRule="auto"/>
    </w:pPr>
    <w:rPr>
      <w:rFonts w:ascii="Arial" w:hAnsi="Arial" w:cs="Arial"/>
      <w:color w:val="000000"/>
      <w:sz w:val="22"/>
      <w:szCs w:val="22"/>
      <w:lang w:eastAsia="en-GB"/>
    </w:rPr>
  </w:style>
  <w:style w:type="character" w:customStyle="1" w:styleId="BrdtextChar">
    <w:name w:val="Brödtext Char"/>
    <w:basedOn w:val="Standardstycketeckensnitt"/>
    <w:link w:val="Brdtext"/>
    <w:uiPriority w:val="1"/>
    <w:semiHidden/>
    <w:rsid w:val="009F4CD1"/>
    <w:rPr>
      <w:rFonts w:ascii="Arial" w:eastAsia="Times New Roman" w:hAnsi="Arial" w:cs="Arial"/>
      <w:color w:val="000000"/>
      <w:lang w:val="en-GB"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uiPriority w:val="99"/>
    <w:rsid w:val="00960F0F"/>
    <w:pPr>
      <w:suppressAutoHyphens w:val="0"/>
      <w:spacing w:after="160" w:line="240" w:lineRule="exact"/>
    </w:pPr>
    <w:rPr>
      <w:rFonts w:eastAsiaTheme="minorHAnsi" w:cstheme="minorBidi"/>
      <w:sz w:val="18"/>
      <w:szCs w:val="22"/>
      <w:vertAlign w:val="superscript"/>
    </w:rPr>
  </w:style>
  <w:style w:type="numbering" w:customStyle="1" w:styleId="NoList1">
    <w:name w:val="No List1"/>
    <w:next w:val="Ingenlista"/>
    <w:uiPriority w:val="99"/>
    <w:semiHidden/>
    <w:unhideWhenUsed/>
    <w:rsid w:val="00240836"/>
  </w:style>
  <w:style w:type="paragraph" w:customStyle="1" w:styleId="ParaNoG">
    <w:name w:val="_ParaNo._G"/>
    <w:basedOn w:val="SingleTxtG"/>
    <w:rsid w:val="00240836"/>
    <w:pPr>
      <w:numPr>
        <w:numId w:val="29"/>
      </w:numPr>
      <w:tabs>
        <w:tab w:val="left" w:pos="1701"/>
        <w:tab w:val="left" w:pos="2268"/>
      </w:tabs>
      <w:kinsoku/>
      <w:overflowPunct/>
      <w:autoSpaceDE/>
      <w:autoSpaceDN/>
      <w:adjustRightInd/>
      <w:snapToGrid/>
    </w:pPr>
    <w:rPr>
      <w:rFonts w:eastAsia="SimSun"/>
      <w:lang w:eastAsia="zh-CN"/>
    </w:rPr>
  </w:style>
  <w:style w:type="numbering" w:customStyle="1" w:styleId="1111111">
    <w:name w:val="1 / 1.1 / 1.1.11"/>
    <w:basedOn w:val="Ingenlista"/>
    <w:next w:val="111111"/>
    <w:semiHidden/>
    <w:rsid w:val="00240836"/>
    <w:pPr>
      <w:numPr>
        <w:numId w:val="31"/>
      </w:numPr>
    </w:pPr>
  </w:style>
  <w:style w:type="numbering" w:customStyle="1" w:styleId="1ai1">
    <w:name w:val="1 / a / i1"/>
    <w:basedOn w:val="Ingenlista"/>
    <w:next w:val="1ai"/>
    <w:semiHidden/>
    <w:rsid w:val="00240836"/>
  </w:style>
  <w:style w:type="character" w:styleId="Bokenstitel">
    <w:name w:val="Book Title"/>
    <w:basedOn w:val="Standardstycketeckensnitt"/>
    <w:uiPriority w:val="33"/>
    <w:semiHidden/>
    <w:rsid w:val="00240836"/>
    <w:rPr>
      <w:b/>
      <w:bCs/>
      <w:smallCaps/>
      <w:spacing w:val="5"/>
    </w:rPr>
  </w:style>
  <w:style w:type="table" w:customStyle="1" w:styleId="TableGrid2">
    <w:name w:val="Table Grid2"/>
    <w:basedOn w:val="Normaltabell"/>
    <w:next w:val="Tabellrutnt"/>
    <w:rsid w:val="00240836"/>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B859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Hyperlink0">
    <w:name w:val="Hyperlink.0"/>
    <w:basedOn w:val="Hyperlnk"/>
    <w:rsid w:val="00B314BD"/>
    <w:rPr>
      <w:outline w:val="0"/>
      <w:color w:val="0000FF"/>
      <w:u w:val="single" w:color="0000FF"/>
    </w:rPr>
  </w:style>
  <w:style w:type="paragraph" w:customStyle="1" w:styleId="Standard">
    <w:name w:val="Standard"/>
    <w:rsid w:val="00CB766A"/>
    <w:pPr>
      <w:suppressAutoHyphens/>
      <w:autoSpaceDN w:val="0"/>
      <w:textAlignment w:val="baseline"/>
    </w:pPr>
    <w:rPr>
      <w:rFonts w:ascii="Calibri" w:eastAsia="Calibri" w:hAnsi="Calibri" w:cs="Times New Roman"/>
      <w:kern w:val="3"/>
      <w:lang w:val="en-GB"/>
    </w:rPr>
  </w:style>
  <w:style w:type="paragraph" w:customStyle="1" w:styleId="BodyA">
    <w:name w:val="Body A"/>
    <w:rsid w:val="003F51B0"/>
    <w:pPr>
      <w:pBdr>
        <w:top w:val="nil"/>
        <w:left w:val="nil"/>
        <w:bottom w:val="nil"/>
        <w:right w:val="nil"/>
        <w:between w:val="nil"/>
        <w:bar w:val="nil"/>
      </w:pBdr>
      <w:spacing w:line="240" w:lineRule="auto"/>
    </w:pPr>
    <w:rPr>
      <w:rFonts w:ascii="Arial" w:eastAsia="Arial Unicode MS" w:hAnsi="Arial Unicode MS" w:cs="Arial Unicode MS"/>
      <w:color w:val="000000"/>
      <w:sz w:val="24"/>
      <w:szCs w:val="24"/>
      <w:u w:color="000000"/>
      <w:bdr w:val="nil"/>
      <w:lang w:val="en-US"/>
    </w:rPr>
  </w:style>
  <w:style w:type="paragraph" w:customStyle="1" w:styleId="merged-reco">
    <w:name w:val="merged-reco"/>
    <w:basedOn w:val="Normal"/>
    <w:rsid w:val="005C20D5"/>
    <w:pPr>
      <w:suppressAutoHyphens w:val="0"/>
      <w:spacing w:before="100" w:beforeAutospacing="1" w:after="100" w:afterAutospacing="1" w:line="240" w:lineRule="auto"/>
    </w:pPr>
    <w:rPr>
      <w:sz w:val="24"/>
      <w:szCs w:val="24"/>
      <w:lang w:eastAsia="en-GB"/>
    </w:rPr>
  </w:style>
  <w:style w:type="character" w:styleId="Stark">
    <w:name w:val="Strong"/>
    <w:basedOn w:val="Standardstycketeckensnitt"/>
    <w:uiPriority w:val="22"/>
    <w:qFormat/>
    <w:rsid w:val="00E625EE"/>
    <w:rPr>
      <w:b/>
      <w:bCs/>
    </w:rPr>
  </w:style>
  <w:style w:type="paragraph" w:customStyle="1" w:styleId="lmttranslationsastextitem">
    <w:name w:val="lmt__translations_as_text__item"/>
    <w:basedOn w:val="Normal"/>
    <w:rsid w:val="00A060AE"/>
    <w:pPr>
      <w:suppressAutoHyphens w:val="0"/>
      <w:spacing w:before="100" w:beforeAutospacing="1" w:after="100" w:afterAutospacing="1" w:line="240" w:lineRule="auto"/>
    </w:pPr>
    <w:rPr>
      <w:sz w:val="24"/>
      <w:szCs w:val="24"/>
      <w:lang w:eastAsia="en-GB"/>
    </w:rPr>
  </w:style>
  <w:style w:type="paragraph" w:customStyle="1" w:styleId="CosA">
    <w:name w:val="Cos A"/>
    <w:rsid w:val="0038421C"/>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it-IT" w:eastAsia="es-ES"/>
      <w14:textOutline w14:w="12700" w14:cap="flat" w14:cmpd="sng" w14:algn="ctr">
        <w14:noFill/>
        <w14:prstDash w14:val="solid"/>
        <w14:miter w14:lim="400000"/>
      </w14:textOutline>
    </w:rPr>
  </w:style>
  <w:style w:type="character" w:customStyle="1" w:styleId="rynqvb">
    <w:name w:val="rynqvb"/>
    <w:basedOn w:val="Standardstycketeckensnitt"/>
    <w:rsid w:val="00FA4BAA"/>
  </w:style>
  <w:style w:type="paragraph" w:customStyle="1" w:styleId="body-text">
    <w:name w:val="body-text"/>
    <w:basedOn w:val="Normal"/>
    <w:rsid w:val="00F60740"/>
    <w:pPr>
      <w:suppressAutoHyphens w:val="0"/>
      <w:spacing w:before="100" w:beforeAutospacing="1" w:after="100" w:afterAutospacing="1" w:line="240" w:lineRule="auto"/>
    </w:pPr>
    <w:rPr>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37171">
      <w:bodyDiv w:val="1"/>
      <w:marLeft w:val="0"/>
      <w:marRight w:val="0"/>
      <w:marTop w:val="0"/>
      <w:marBottom w:val="0"/>
      <w:divBdr>
        <w:top w:val="none" w:sz="0" w:space="0" w:color="auto"/>
        <w:left w:val="none" w:sz="0" w:space="0" w:color="auto"/>
        <w:bottom w:val="none" w:sz="0" w:space="0" w:color="auto"/>
        <w:right w:val="none" w:sz="0" w:space="0" w:color="auto"/>
      </w:divBdr>
    </w:div>
    <w:div w:id="261685370">
      <w:bodyDiv w:val="1"/>
      <w:marLeft w:val="0"/>
      <w:marRight w:val="0"/>
      <w:marTop w:val="0"/>
      <w:marBottom w:val="0"/>
      <w:divBdr>
        <w:top w:val="none" w:sz="0" w:space="0" w:color="auto"/>
        <w:left w:val="none" w:sz="0" w:space="0" w:color="auto"/>
        <w:bottom w:val="none" w:sz="0" w:space="0" w:color="auto"/>
        <w:right w:val="none" w:sz="0" w:space="0" w:color="auto"/>
      </w:divBdr>
    </w:div>
    <w:div w:id="329871321">
      <w:bodyDiv w:val="1"/>
      <w:marLeft w:val="0"/>
      <w:marRight w:val="0"/>
      <w:marTop w:val="0"/>
      <w:marBottom w:val="0"/>
      <w:divBdr>
        <w:top w:val="none" w:sz="0" w:space="0" w:color="auto"/>
        <w:left w:val="none" w:sz="0" w:space="0" w:color="auto"/>
        <w:bottom w:val="none" w:sz="0" w:space="0" w:color="auto"/>
        <w:right w:val="none" w:sz="0" w:space="0" w:color="auto"/>
      </w:divBdr>
    </w:div>
    <w:div w:id="410279195">
      <w:bodyDiv w:val="1"/>
      <w:marLeft w:val="0"/>
      <w:marRight w:val="0"/>
      <w:marTop w:val="0"/>
      <w:marBottom w:val="0"/>
      <w:divBdr>
        <w:top w:val="none" w:sz="0" w:space="0" w:color="auto"/>
        <w:left w:val="none" w:sz="0" w:space="0" w:color="auto"/>
        <w:bottom w:val="none" w:sz="0" w:space="0" w:color="auto"/>
        <w:right w:val="none" w:sz="0" w:space="0" w:color="auto"/>
      </w:divBdr>
    </w:div>
    <w:div w:id="497578107">
      <w:bodyDiv w:val="1"/>
      <w:marLeft w:val="0"/>
      <w:marRight w:val="0"/>
      <w:marTop w:val="0"/>
      <w:marBottom w:val="0"/>
      <w:divBdr>
        <w:top w:val="none" w:sz="0" w:space="0" w:color="auto"/>
        <w:left w:val="none" w:sz="0" w:space="0" w:color="auto"/>
        <w:bottom w:val="none" w:sz="0" w:space="0" w:color="auto"/>
        <w:right w:val="none" w:sz="0" w:space="0" w:color="auto"/>
      </w:divBdr>
    </w:div>
    <w:div w:id="533226994">
      <w:bodyDiv w:val="1"/>
      <w:marLeft w:val="0"/>
      <w:marRight w:val="0"/>
      <w:marTop w:val="0"/>
      <w:marBottom w:val="0"/>
      <w:divBdr>
        <w:top w:val="none" w:sz="0" w:space="0" w:color="auto"/>
        <w:left w:val="none" w:sz="0" w:space="0" w:color="auto"/>
        <w:bottom w:val="none" w:sz="0" w:space="0" w:color="auto"/>
        <w:right w:val="none" w:sz="0" w:space="0" w:color="auto"/>
      </w:divBdr>
    </w:div>
    <w:div w:id="547183939">
      <w:bodyDiv w:val="1"/>
      <w:marLeft w:val="0"/>
      <w:marRight w:val="0"/>
      <w:marTop w:val="0"/>
      <w:marBottom w:val="0"/>
      <w:divBdr>
        <w:top w:val="none" w:sz="0" w:space="0" w:color="auto"/>
        <w:left w:val="none" w:sz="0" w:space="0" w:color="auto"/>
        <w:bottom w:val="none" w:sz="0" w:space="0" w:color="auto"/>
        <w:right w:val="none" w:sz="0" w:space="0" w:color="auto"/>
      </w:divBdr>
    </w:div>
    <w:div w:id="551162175">
      <w:bodyDiv w:val="1"/>
      <w:marLeft w:val="0"/>
      <w:marRight w:val="0"/>
      <w:marTop w:val="0"/>
      <w:marBottom w:val="0"/>
      <w:divBdr>
        <w:top w:val="none" w:sz="0" w:space="0" w:color="auto"/>
        <w:left w:val="none" w:sz="0" w:space="0" w:color="auto"/>
        <w:bottom w:val="none" w:sz="0" w:space="0" w:color="auto"/>
        <w:right w:val="none" w:sz="0" w:space="0" w:color="auto"/>
      </w:divBdr>
    </w:div>
    <w:div w:id="579020779">
      <w:bodyDiv w:val="1"/>
      <w:marLeft w:val="0"/>
      <w:marRight w:val="0"/>
      <w:marTop w:val="0"/>
      <w:marBottom w:val="0"/>
      <w:divBdr>
        <w:top w:val="none" w:sz="0" w:space="0" w:color="auto"/>
        <w:left w:val="none" w:sz="0" w:space="0" w:color="auto"/>
        <w:bottom w:val="none" w:sz="0" w:space="0" w:color="auto"/>
        <w:right w:val="none" w:sz="0" w:space="0" w:color="auto"/>
      </w:divBdr>
    </w:div>
    <w:div w:id="663968645">
      <w:bodyDiv w:val="1"/>
      <w:marLeft w:val="0"/>
      <w:marRight w:val="0"/>
      <w:marTop w:val="0"/>
      <w:marBottom w:val="0"/>
      <w:divBdr>
        <w:top w:val="none" w:sz="0" w:space="0" w:color="auto"/>
        <w:left w:val="none" w:sz="0" w:space="0" w:color="auto"/>
        <w:bottom w:val="none" w:sz="0" w:space="0" w:color="auto"/>
        <w:right w:val="none" w:sz="0" w:space="0" w:color="auto"/>
      </w:divBdr>
    </w:div>
    <w:div w:id="1469085095">
      <w:bodyDiv w:val="1"/>
      <w:marLeft w:val="0"/>
      <w:marRight w:val="0"/>
      <w:marTop w:val="0"/>
      <w:marBottom w:val="0"/>
      <w:divBdr>
        <w:top w:val="none" w:sz="0" w:space="0" w:color="auto"/>
        <w:left w:val="none" w:sz="0" w:space="0" w:color="auto"/>
        <w:bottom w:val="none" w:sz="0" w:space="0" w:color="auto"/>
        <w:right w:val="none" w:sz="0" w:space="0" w:color="auto"/>
      </w:divBdr>
    </w:div>
    <w:div w:id="1596400905">
      <w:bodyDiv w:val="1"/>
      <w:marLeft w:val="0"/>
      <w:marRight w:val="0"/>
      <w:marTop w:val="0"/>
      <w:marBottom w:val="0"/>
      <w:divBdr>
        <w:top w:val="none" w:sz="0" w:space="0" w:color="auto"/>
        <w:left w:val="none" w:sz="0" w:space="0" w:color="auto"/>
        <w:bottom w:val="none" w:sz="0" w:space="0" w:color="auto"/>
        <w:right w:val="none" w:sz="0" w:space="0" w:color="auto"/>
      </w:divBdr>
    </w:div>
    <w:div w:id="1621915714">
      <w:bodyDiv w:val="1"/>
      <w:marLeft w:val="0"/>
      <w:marRight w:val="0"/>
      <w:marTop w:val="0"/>
      <w:marBottom w:val="0"/>
      <w:divBdr>
        <w:top w:val="none" w:sz="0" w:space="0" w:color="auto"/>
        <w:left w:val="none" w:sz="0" w:space="0" w:color="auto"/>
        <w:bottom w:val="none" w:sz="0" w:space="0" w:color="auto"/>
        <w:right w:val="none" w:sz="0" w:space="0" w:color="auto"/>
      </w:divBdr>
    </w:div>
    <w:div w:id="1825273969">
      <w:bodyDiv w:val="1"/>
      <w:marLeft w:val="0"/>
      <w:marRight w:val="0"/>
      <w:marTop w:val="0"/>
      <w:marBottom w:val="0"/>
      <w:divBdr>
        <w:top w:val="none" w:sz="0" w:space="0" w:color="auto"/>
        <w:left w:val="none" w:sz="0" w:space="0" w:color="auto"/>
        <w:bottom w:val="none" w:sz="0" w:space="0" w:color="auto"/>
        <w:right w:val="none" w:sz="0" w:space="0" w:color="auto"/>
      </w:divBdr>
    </w:div>
    <w:div w:id="1898280915">
      <w:bodyDiv w:val="1"/>
      <w:marLeft w:val="0"/>
      <w:marRight w:val="0"/>
      <w:marTop w:val="0"/>
      <w:marBottom w:val="0"/>
      <w:divBdr>
        <w:top w:val="none" w:sz="0" w:space="0" w:color="auto"/>
        <w:left w:val="none" w:sz="0" w:space="0" w:color="auto"/>
        <w:bottom w:val="none" w:sz="0" w:space="0" w:color="auto"/>
        <w:right w:val="none" w:sz="0" w:space="0" w:color="auto"/>
      </w:divBdr>
    </w:div>
    <w:div w:id="2003044747">
      <w:bodyDiv w:val="1"/>
      <w:marLeft w:val="0"/>
      <w:marRight w:val="0"/>
      <w:marTop w:val="0"/>
      <w:marBottom w:val="0"/>
      <w:divBdr>
        <w:top w:val="none" w:sz="0" w:space="0" w:color="auto"/>
        <w:left w:val="none" w:sz="0" w:space="0" w:color="auto"/>
        <w:bottom w:val="none" w:sz="0" w:space="0" w:color="auto"/>
        <w:right w:val="none" w:sz="0" w:space="0" w:color="auto"/>
      </w:divBdr>
    </w:div>
    <w:div w:id="2039158116">
      <w:bodyDiv w:val="1"/>
      <w:marLeft w:val="0"/>
      <w:marRight w:val="0"/>
      <w:marTop w:val="0"/>
      <w:marBottom w:val="0"/>
      <w:divBdr>
        <w:top w:val="none" w:sz="0" w:space="0" w:color="auto"/>
        <w:left w:val="none" w:sz="0" w:space="0" w:color="auto"/>
        <w:bottom w:val="none" w:sz="0" w:space="0" w:color="auto"/>
        <w:right w:val="none" w:sz="0" w:space="0" w:color="auto"/>
      </w:divBdr>
    </w:div>
    <w:div w:id="21289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52/32" TargetMode="External"/><Relationship Id="rId2" Type="http://schemas.openxmlformats.org/officeDocument/2006/relationships/hyperlink" Target="http://undocs.org/en/CRPD/C/5" TargetMode="External"/><Relationship Id="rId1" Type="http://schemas.openxmlformats.org/officeDocument/2006/relationships/hyperlink" Target="http://undocs.org/en/A/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33B2016F8E0704F952DD6AE8E95320E" ma:contentTypeVersion="4" ma:contentTypeDescription="Skapa nytt dokument med möjlighet att välja RK-mall" ma:contentTypeScope="" ma:versionID="3948ddc438c2b0583bdd9a490b51ce7d">
  <xsd:schema xmlns:xsd="http://www.w3.org/2001/XMLSchema" xmlns:xs="http://www.w3.org/2001/XMLSchema" xmlns:p="http://schemas.microsoft.com/office/2006/metadata/properties" xmlns:ns2="4e9c2f0c-7bf8-49af-8356-cbf363fc78a7" xmlns:ns3="cc625d36-bb37-4650-91b9-0c96159295ba" xmlns:ns4="18f3d968-6251-40b0-9f11-012b293496c2" xmlns:ns5="40518b34-4fa8-40f1-b7bf-5ca6b4fcdf36" targetNamespace="http://schemas.microsoft.com/office/2006/metadata/properties" ma:root="true" ma:fieldsID="0f524ff05d29e5ac4fe73bc5d80aaedc" ns2:_="" ns3:_="" ns4:_="" ns5:_="">
    <xsd:import namespace="4e9c2f0c-7bf8-49af-8356-cbf363fc78a7"/>
    <xsd:import namespace="cc625d36-bb37-4650-91b9-0c96159295ba"/>
    <xsd:import namespace="18f3d968-6251-40b0-9f11-012b293496c2"/>
    <xsd:import namespace="40518b34-4fa8-40f1-b7bf-5ca6b4fcdf36"/>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7b4e259-1276-48dd-a713-c31d9ee65aa3}" ma:internalName="TaxCatchAllLabel" ma:readOnly="true" ma:showField="CatchAllDataLabel" ma:web="40518b34-4fa8-40f1-b7bf-5ca6b4fcdf3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17b4e259-1276-48dd-a713-c31d9ee65aa3}" ma:internalName="TaxCatchAll" ma:showField="CatchAllData" ma:web="40518b34-4fa8-40f1-b7bf-5ca6b4fcdf3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18b34-4fa8-40f1-b7bf-5ca6b4fcdf36"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66D04-674F-4339-8480-7969715D16FE}">
  <ds:schemaRefs>
    <ds:schemaRef ds:uri="http://schemas.microsoft.com/sharepoint/v3/contenttype/forms"/>
  </ds:schemaRefs>
</ds:datastoreItem>
</file>

<file path=customXml/itemProps2.xml><?xml version="1.0" encoding="utf-8"?>
<ds:datastoreItem xmlns:ds="http://schemas.openxmlformats.org/officeDocument/2006/customXml" ds:itemID="{71B746B8-3D7B-480C-AE5F-95527F2F3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40518b34-4fa8-40f1-b7bf-5ca6b4fcd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60F89-A8DB-4C73-90A1-4B73163A0FD4}">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4.xml><?xml version="1.0" encoding="utf-8"?>
<ds:datastoreItem xmlns:ds="http://schemas.openxmlformats.org/officeDocument/2006/customXml" ds:itemID="{CAA92CAB-35E0-4F51-8471-1FBA44DD529C}">
  <ds:schemaRefs>
    <ds:schemaRef ds:uri="http://schemas.microsoft.com/office/2006/metadata/customXsn"/>
  </ds:schemaRefs>
</ds:datastoreItem>
</file>

<file path=customXml/itemProps5.xml><?xml version="1.0" encoding="utf-8"?>
<ds:datastoreItem xmlns:ds="http://schemas.openxmlformats.org/officeDocument/2006/customXml" ds:itemID="{5443D89F-A10D-4515-ADD4-06CC6E16223B}">
  <ds:schemaRefs>
    <ds:schemaRef ds:uri="Microsoft.SharePoint.Taxonomy.ContentTypeSync"/>
  </ds:schemaRefs>
</ds:datastoreItem>
</file>

<file path=customXml/itemProps6.xml><?xml version="1.0" encoding="utf-8"?>
<ds:datastoreItem xmlns:ds="http://schemas.openxmlformats.org/officeDocument/2006/customXml" ds:itemID="{341668DA-75C4-4AF4-8335-6ED5BBCD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8655</Words>
  <Characters>45875</Characters>
  <Application>Microsoft Office Word</Application>
  <DocSecurity>0</DocSecurity>
  <Lines>382</Lines>
  <Paragraphs>108</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Título</vt:lpstr>
      </vt:variant>
      <vt:variant>
        <vt:i4>1</vt:i4>
      </vt:variant>
    </vt:vector>
  </HeadingPairs>
  <TitlesOfParts>
    <vt:vector size="4" baseType="lpstr">
      <vt:lpstr>CRPD/C/EST/CO/R.1</vt:lpstr>
      <vt:lpstr>CRPD/C/EST/CO/R.1</vt:lpstr>
      <vt:lpstr/>
      <vt:lpstr/>
    </vt:vector>
  </TitlesOfParts>
  <Company>DCM</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CRPD/C/EST/CO/R.1</dc:title>
  <dc:subject>2304766</dc:subject>
  <dc:creator>Gloria</dc:creator>
  <cp:keywords/>
  <dc:description/>
  <cp:lastModifiedBy>kenneth  Westberg</cp:lastModifiedBy>
  <cp:revision>2</cp:revision>
  <cp:lastPrinted>2017-10-25T12:09:00Z</cp:lastPrinted>
  <dcterms:created xsi:type="dcterms:W3CDTF">2024-04-02T13:18:00Z</dcterms:created>
  <dcterms:modified xsi:type="dcterms:W3CDTF">2024-04-02T13:18:00Z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Estonia</vt:lpwstr>
  </property>
  <property fmtid="{D5CDD505-2E9C-101B-9397-08002B2CF9AE}" pid="8" name="countw">
    <vt:lpwstr>Estonia</vt:lpwstr>
  </property>
  <property fmtid="{D5CDD505-2E9C-101B-9397-08002B2CF9AE}" pid="9" name="countwd">
    <vt:lpwstr>Estonia</vt:lpwstr>
  </property>
  <property fmtid="{D5CDD505-2E9C-101B-9397-08002B2CF9AE}" pid="10" name="date">
    <vt:lpwstr>4 February 2020</vt:lpwstr>
  </property>
  <property fmtid="{D5CDD505-2E9C-101B-9397-08002B2CF9AE}" pid="11" name="Date-Generated">
    <vt:filetime>2020-02-04T15:47:41Z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Estonia</vt:lpwstr>
  </property>
  <property fmtid="{D5CDD505-2E9C-101B-9397-08002B2CF9AE}" pid="20" name="preps">
    <vt:lpwstr>initial report of Estonia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C/EST/CO/R.1</vt:lpwstr>
  </property>
  <property fmtid="{D5CDD505-2E9C-101B-9397-08002B2CF9AE}" pid="28" name="symh">
    <vt:lpwstr>CRPD/C/EST/CO/R.1</vt:lpwstr>
  </property>
  <property fmtid="{D5CDD505-2E9C-101B-9397-08002B2CF9AE}" pid="29" name="Title">
    <vt:lpwstr>CRPD/C/EST/CO/R.1</vt:lpwstr>
  </property>
  <property fmtid="{D5CDD505-2E9C-101B-9397-08002B2CF9AE}" pid="30" name="tlang">
    <vt:lpwstr/>
  </property>
  <property fmtid="{D5CDD505-2E9C-101B-9397-08002B2CF9AE}" pid="31" name="virs">
    <vt:lpwstr>English, Russian and Spanish only</vt:lpwstr>
  </property>
  <property fmtid="{D5CDD505-2E9C-101B-9397-08002B2CF9AE}" pid="32" name="ContentTypeId">
    <vt:lpwstr>0x010100BBA312BF02777149882D207184EC35C03200B33B2016F8E0704F952DD6AE8E95320E</vt:lpwstr>
  </property>
  <property fmtid="{D5CDD505-2E9C-101B-9397-08002B2CF9AE}" pid="33" name="Organisation">
    <vt:lpwstr/>
  </property>
  <property fmtid="{D5CDD505-2E9C-101B-9397-08002B2CF9AE}" pid="34" name="ActivityCategory">
    <vt:lpwstr/>
  </property>
</Properties>
</file>